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FD5" w:rsidRDefault="0038505C">
      <w:pPr>
        <w:spacing w:after="0" w:line="259" w:lineRule="auto"/>
        <w:ind w:left="137" w:right="0" w:firstLine="0"/>
        <w:jc w:val="left"/>
      </w:pPr>
      <w:bookmarkStart w:id="0" w:name="_GoBack"/>
      <w:bookmarkEnd w:id="0"/>
      <w:r>
        <w:rPr>
          <w:b/>
          <w:sz w:val="32"/>
        </w:rPr>
        <w:t xml:space="preserve">Formal Education and Socio-Economic Condition of Rural </w:t>
      </w:r>
    </w:p>
    <w:p w:rsidR="00E44FD5" w:rsidRDefault="0038505C">
      <w:pPr>
        <w:spacing w:after="0" w:line="259" w:lineRule="auto"/>
        <w:jc w:val="center"/>
      </w:pPr>
      <w:r>
        <w:rPr>
          <w:b/>
          <w:sz w:val="32"/>
        </w:rPr>
        <w:t xml:space="preserve">People in Bangladesh: A Comparative Study between </w:t>
      </w:r>
    </w:p>
    <w:p w:rsidR="00E44FD5" w:rsidRDefault="0038505C">
      <w:pPr>
        <w:spacing w:after="0" w:line="259" w:lineRule="auto"/>
        <w:ind w:right="3"/>
        <w:jc w:val="center"/>
      </w:pPr>
      <w:r>
        <w:rPr>
          <w:b/>
          <w:sz w:val="32"/>
        </w:rPr>
        <w:t xml:space="preserve">Literate and Illiterate People on </w:t>
      </w:r>
      <w:proofErr w:type="spellStart"/>
      <w:r>
        <w:rPr>
          <w:b/>
          <w:sz w:val="32"/>
        </w:rPr>
        <w:t>Raninagar</w:t>
      </w:r>
      <w:proofErr w:type="spellEnd"/>
      <w:r>
        <w:rPr>
          <w:b/>
          <w:sz w:val="32"/>
        </w:rPr>
        <w:t xml:space="preserve"> </w:t>
      </w:r>
      <w:proofErr w:type="spellStart"/>
      <w:r>
        <w:rPr>
          <w:b/>
          <w:sz w:val="32"/>
        </w:rPr>
        <w:t>Upazilla</w:t>
      </w:r>
      <w:proofErr w:type="spellEnd"/>
      <w:r>
        <w:rPr>
          <w:b/>
          <w:sz w:val="32"/>
        </w:rPr>
        <w:t xml:space="preserve"> of </w:t>
      </w:r>
    </w:p>
    <w:p w:rsidR="00E44FD5" w:rsidRDefault="0038505C">
      <w:pPr>
        <w:spacing w:after="0" w:line="259" w:lineRule="auto"/>
        <w:ind w:right="8"/>
        <w:jc w:val="center"/>
      </w:pPr>
      <w:proofErr w:type="spellStart"/>
      <w:r>
        <w:rPr>
          <w:b/>
          <w:sz w:val="32"/>
        </w:rPr>
        <w:t>Naogaon</w:t>
      </w:r>
      <w:proofErr w:type="spellEnd"/>
      <w:r>
        <w:rPr>
          <w:b/>
          <w:sz w:val="32"/>
        </w:rPr>
        <w:t xml:space="preserve"> District</w:t>
      </w:r>
      <w:r>
        <w:rPr>
          <w:b/>
          <w:sz w:val="30"/>
        </w:rPr>
        <w:t xml:space="preserve"> </w:t>
      </w:r>
    </w:p>
    <w:p w:rsidR="00E44FD5" w:rsidRDefault="0038505C">
      <w:pPr>
        <w:spacing w:after="0" w:line="259" w:lineRule="auto"/>
        <w:ind w:left="67" w:right="0" w:firstLine="0"/>
        <w:jc w:val="center"/>
      </w:pPr>
      <w:r>
        <w:rPr>
          <w:sz w:val="28"/>
        </w:rPr>
        <w:t xml:space="preserve"> </w:t>
      </w:r>
    </w:p>
    <w:p w:rsidR="00E44FD5" w:rsidRDefault="0038505C">
      <w:pPr>
        <w:spacing w:after="110" w:line="259" w:lineRule="auto"/>
        <w:ind w:left="0" w:firstLine="0"/>
        <w:jc w:val="center"/>
      </w:pPr>
      <w:r>
        <w:t>Md. Abdul Kafi</w:t>
      </w:r>
      <w:r>
        <w:rPr>
          <w:vertAlign w:val="superscript"/>
        </w:rPr>
        <w:t>1</w:t>
      </w:r>
      <w:r>
        <w:t xml:space="preserve">    Md. Afzal Hossain</w:t>
      </w:r>
      <w:r>
        <w:rPr>
          <w:vertAlign w:val="superscript"/>
        </w:rPr>
        <w:t>2*</w:t>
      </w:r>
      <w:r>
        <w:t xml:space="preserve">  </w:t>
      </w:r>
    </w:p>
    <w:p w:rsidR="00E44FD5" w:rsidRDefault="0038505C">
      <w:pPr>
        <w:numPr>
          <w:ilvl w:val="0"/>
          <w:numId w:val="1"/>
        </w:numPr>
        <w:spacing w:after="34"/>
        <w:ind w:right="0" w:hanging="252"/>
      </w:pPr>
      <w:proofErr w:type="spellStart"/>
      <w:proofErr w:type="gramStart"/>
      <w:r>
        <w:t>Ph.D</w:t>
      </w:r>
      <w:proofErr w:type="spellEnd"/>
      <w:proofErr w:type="gramEnd"/>
      <w:r>
        <w:t xml:space="preserve"> Research Fellow, Institute of Education and Research (IER), </w:t>
      </w:r>
      <w:proofErr w:type="spellStart"/>
      <w:r>
        <w:t>Rajshahi</w:t>
      </w:r>
      <w:proofErr w:type="spellEnd"/>
      <w:r>
        <w:t xml:space="preserve"> University, Rajshahi-6205, Bangladesh </w:t>
      </w:r>
    </w:p>
    <w:p w:rsidR="00E44FD5" w:rsidRDefault="0038505C">
      <w:pPr>
        <w:numPr>
          <w:ilvl w:val="0"/>
          <w:numId w:val="1"/>
        </w:numPr>
        <w:spacing w:after="31"/>
        <w:ind w:right="0" w:hanging="252"/>
      </w:pPr>
      <w:proofErr w:type="spellStart"/>
      <w:proofErr w:type="gramStart"/>
      <w:r>
        <w:t>M..Phil</w:t>
      </w:r>
      <w:proofErr w:type="spellEnd"/>
      <w:proofErr w:type="gramEnd"/>
      <w:r>
        <w:t xml:space="preserve"> Research Fellow, Institute of Education and Research (IER), </w:t>
      </w:r>
      <w:proofErr w:type="spellStart"/>
      <w:r>
        <w:t>Rajshahi</w:t>
      </w:r>
      <w:proofErr w:type="spellEnd"/>
      <w:r>
        <w:t xml:space="preserve"> University, Rajshahi-6205, Bangladesh. </w:t>
      </w:r>
    </w:p>
    <w:p w:rsidR="00E44FD5" w:rsidRDefault="0038505C">
      <w:pPr>
        <w:spacing w:after="103"/>
        <w:ind w:left="396" w:right="0"/>
      </w:pPr>
      <w:r>
        <w:t>*  E-mail of the correspon</w:t>
      </w:r>
      <w:r>
        <w:t xml:space="preserve">ding author: hossainafzal37@yahoo.com  </w:t>
      </w:r>
    </w:p>
    <w:p w:rsidR="00E44FD5" w:rsidRDefault="0038505C">
      <w:pPr>
        <w:spacing w:after="0" w:line="259" w:lineRule="auto"/>
        <w:ind w:left="0" w:right="653" w:firstLine="0"/>
        <w:jc w:val="center"/>
      </w:pPr>
      <w:r>
        <w:rPr>
          <w:i/>
          <w:sz w:val="28"/>
        </w:rPr>
        <w:t xml:space="preserve"> </w:t>
      </w:r>
    </w:p>
    <w:p w:rsidR="00E44FD5" w:rsidRDefault="0038505C">
      <w:pPr>
        <w:spacing w:after="192" w:line="251" w:lineRule="auto"/>
        <w:ind w:left="1032" w:right="0"/>
        <w:jc w:val="left"/>
      </w:pPr>
      <w:r>
        <w:rPr>
          <w:i/>
        </w:rPr>
        <w:t xml:space="preserve">Sponsoring information: No Sponsor of Support by any Organization </w:t>
      </w:r>
    </w:p>
    <w:p w:rsidR="00E44FD5" w:rsidRDefault="0038505C">
      <w:pPr>
        <w:ind w:left="-5" w:right="0"/>
      </w:pPr>
      <w:r>
        <w:rPr>
          <w:b/>
        </w:rPr>
        <w:t xml:space="preserve">Abstract: </w:t>
      </w:r>
      <w:r>
        <w:t>The study focuses only the socio-economical condition of the people who take the formal education from any institution. This paper is to explore the difference between literate and illiterate people, their socio-economic condition and their life style in s</w:t>
      </w:r>
      <w:r>
        <w:t xml:space="preserve">ociety. The study </w:t>
      </w:r>
      <w:proofErr w:type="gramStart"/>
      <w:r>
        <w:t>represent</w:t>
      </w:r>
      <w:proofErr w:type="gramEnd"/>
      <w:r>
        <w:t xml:space="preserve"> that literate people earn more compared to the illiterate people. Social acceptance of literate respondents was found significant compared to the illiterate respondents in the study area. Formal education developed the people of</w:t>
      </w:r>
      <w:r>
        <w:t xml:space="preserve"> social relationship, interaction of individuals, groups, institutions and organization of society. Formal education has a positive effect on </w:t>
      </w:r>
      <w:proofErr w:type="gramStart"/>
      <w:r>
        <w:t>health .Most</w:t>
      </w:r>
      <w:proofErr w:type="gramEnd"/>
      <w:r>
        <w:t xml:space="preserve"> of the literate people having good health but illiterate people not having good health. Illiterate pe</w:t>
      </w:r>
      <w:r>
        <w:t>ople suffer from various diseases. So, it may be declared that the formal education has a positive effect on the society. In this study it is clear that the literate families were found comparatively developed than illiterate families. So, it can be boldly</w:t>
      </w:r>
      <w:r>
        <w:t xml:space="preserve"> pronounced that there are significant effects of formal education in every sphere of human life and on society.</w:t>
      </w:r>
      <w:r>
        <w:rPr>
          <w:b/>
        </w:rPr>
        <w:t xml:space="preserve"> </w:t>
      </w:r>
    </w:p>
    <w:p w:rsidR="00E44FD5" w:rsidRDefault="0038505C">
      <w:pPr>
        <w:spacing w:after="192" w:line="251" w:lineRule="auto"/>
        <w:ind w:left="-5" w:right="0"/>
        <w:jc w:val="left"/>
      </w:pPr>
      <w:r>
        <w:rPr>
          <w:b/>
          <w:i/>
        </w:rPr>
        <w:t xml:space="preserve">Keywords: </w:t>
      </w:r>
      <w:r>
        <w:rPr>
          <w:i/>
        </w:rPr>
        <w:t>Formal Education, Socio-economic Condition, Comparative Study, Literate and Illiterate People, Bangladesh.</w:t>
      </w:r>
      <w:r>
        <w:rPr>
          <w:b/>
          <w:i/>
        </w:rPr>
        <w:t xml:space="preserve">  </w:t>
      </w:r>
    </w:p>
    <w:p w:rsidR="00E44FD5" w:rsidRDefault="0038505C">
      <w:pPr>
        <w:pStyle w:val="Heading1"/>
        <w:spacing w:after="173"/>
        <w:ind w:left="-5"/>
      </w:pPr>
      <w:r>
        <w:t xml:space="preserve">1. Introduction  </w:t>
      </w:r>
    </w:p>
    <w:p w:rsidR="00E44FD5" w:rsidRDefault="0038505C">
      <w:pPr>
        <w:ind w:left="-5" w:right="0"/>
      </w:pPr>
      <w:r>
        <w:t>Educa</w:t>
      </w:r>
      <w:r>
        <w:t>tion is the process by which our mind develops through formal learning at an institution like schools, colleges or universities. It is both mental and intellectual training which provides opportunities of growth and helps to meet challenges overcome obstac</w:t>
      </w:r>
      <w:r>
        <w:t xml:space="preserve">le to </w:t>
      </w:r>
      <w:proofErr w:type="gramStart"/>
      <w:r>
        <w:t>progress.</w:t>
      </w:r>
      <w:r>
        <w:rPr>
          <w:vertAlign w:val="superscript"/>
        </w:rPr>
        <w:t>[</w:t>
      </w:r>
      <w:proofErr w:type="gramEnd"/>
      <w:r>
        <w:rPr>
          <w:vertAlign w:val="superscript"/>
        </w:rPr>
        <w:t>1]</w:t>
      </w:r>
      <w:r>
        <w:t xml:space="preserve"> Education is one of the most important forms of human capital investment. </w:t>
      </w:r>
    </w:p>
    <w:p w:rsidR="00E44FD5" w:rsidRDefault="0038505C">
      <w:pPr>
        <w:ind w:left="-5" w:right="0"/>
      </w:pPr>
      <w:r>
        <w:t>It is the basic need for socio-economic transformation and advancement of a country. No nation can prosper without education. It is also the prime ingredient of h</w:t>
      </w:r>
      <w:r>
        <w:t xml:space="preserve">uman resource </w:t>
      </w:r>
      <w:proofErr w:type="gramStart"/>
      <w:r>
        <w:t>development.</w:t>
      </w:r>
      <w:r>
        <w:rPr>
          <w:vertAlign w:val="superscript"/>
        </w:rPr>
        <w:t>[</w:t>
      </w:r>
      <w:proofErr w:type="gramEnd"/>
      <w:r>
        <w:rPr>
          <w:vertAlign w:val="superscript"/>
        </w:rPr>
        <w:t>2]</w:t>
      </w:r>
      <w:r>
        <w:t xml:space="preserve"> In Bangladesh; educational development is not adequately enough to meet the needs and challenges of the time. Education helps a man to understand what is right and what is wrong. It creates consciousness and develops awareness</w:t>
      </w:r>
      <w:r>
        <w:t xml:space="preserve">. It broadens </w:t>
      </w:r>
      <w:proofErr w:type="spellStart"/>
      <w:r>
        <w:t>out look</w:t>
      </w:r>
      <w:proofErr w:type="spellEnd"/>
      <w:r>
        <w:t xml:space="preserve">, removes prejudice which are obstacle to social and spiritual development of human </w:t>
      </w:r>
      <w:proofErr w:type="gramStart"/>
      <w:r>
        <w:t>beings.</w:t>
      </w:r>
      <w:r>
        <w:rPr>
          <w:vertAlign w:val="superscript"/>
        </w:rPr>
        <w:t>[</w:t>
      </w:r>
      <w:proofErr w:type="gramEnd"/>
      <w:r>
        <w:rPr>
          <w:vertAlign w:val="superscript"/>
        </w:rPr>
        <w:t>3]</w:t>
      </w:r>
      <w:r>
        <w:t xml:space="preserve"> The main purpose of education is to acquire knowledge. Knowledge removes the darkness. An educated man is an asset while an illiterate man </w:t>
      </w:r>
      <w:r>
        <w:t xml:space="preserve">is a liability to the </w:t>
      </w:r>
      <w:proofErr w:type="gramStart"/>
      <w:r>
        <w:t>society.</w:t>
      </w:r>
      <w:r>
        <w:rPr>
          <w:vertAlign w:val="superscript"/>
        </w:rPr>
        <w:t>[</w:t>
      </w:r>
      <w:proofErr w:type="gramEnd"/>
      <w:r>
        <w:rPr>
          <w:vertAlign w:val="superscript"/>
        </w:rPr>
        <w:t>4]</w:t>
      </w:r>
      <w:r>
        <w:t xml:space="preserve"> Education can be given formally or informally. Many people of our country are deprived of having basic education from formal institutions. Bangladesh government and various NGOs have taken necessary steps to educate the il</w:t>
      </w:r>
      <w:r>
        <w:t xml:space="preserve">literate people through non-formal education </w:t>
      </w:r>
      <w:proofErr w:type="gramStart"/>
      <w:r>
        <w:t>programs.</w:t>
      </w:r>
      <w:r>
        <w:rPr>
          <w:vertAlign w:val="superscript"/>
        </w:rPr>
        <w:t>[</w:t>
      </w:r>
      <w:proofErr w:type="gramEnd"/>
      <w:r>
        <w:rPr>
          <w:vertAlign w:val="superscript"/>
        </w:rPr>
        <w:t>5]</w:t>
      </w:r>
      <w:r>
        <w:t xml:space="preserve"> There is no age limit of achieving education. Man can achieve education at any age, any time. Childhood is the proper time of acquiring education, specially the formal education. </w:t>
      </w:r>
    </w:p>
    <w:p w:rsidR="00E44FD5" w:rsidRDefault="0038505C">
      <w:pPr>
        <w:ind w:left="-5" w:right="0"/>
      </w:pPr>
      <w:r>
        <w:lastRenderedPageBreak/>
        <w:t xml:space="preserve">The present study </w:t>
      </w:r>
      <w:r>
        <w:t>is designed to study the impact of formal education on socio-economic development of people. What sorts of changes have been brought in our society and what changes are being observed in our society through formal education is the subject matter of the pre</w:t>
      </w:r>
      <w:r>
        <w:t xml:space="preserve">sent study.  </w:t>
      </w:r>
    </w:p>
    <w:p w:rsidR="00E44FD5" w:rsidRDefault="0038505C">
      <w:pPr>
        <w:pStyle w:val="Heading1"/>
        <w:spacing w:after="188"/>
        <w:ind w:left="-5"/>
      </w:pPr>
      <w:r>
        <w:t xml:space="preserve">2. Background of the Study </w:t>
      </w:r>
    </w:p>
    <w:p w:rsidR="00E44FD5" w:rsidRDefault="0038505C">
      <w:pPr>
        <w:spacing w:after="222"/>
        <w:ind w:left="-5" w:right="0"/>
      </w:pPr>
      <w:r>
        <w:t>Historically and geographically Bangladesh was a part of the Indian sub-</w:t>
      </w:r>
      <w:proofErr w:type="gramStart"/>
      <w:r>
        <w:t>continent.</w:t>
      </w:r>
      <w:r>
        <w:rPr>
          <w:vertAlign w:val="superscript"/>
        </w:rPr>
        <w:t>[</w:t>
      </w:r>
      <w:proofErr w:type="gramEnd"/>
      <w:r>
        <w:rPr>
          <w:vertAlign w:val="superscript"/>
        </w:rPr>
        <w:t>6]</w:t>
      </w:r>
      <w:r>
        <w:t xml:space="preserve"> Therefore, Bangladesh shares many attributes of life and culture of the sub-continent through the experience of 200 years of Bri</w:t>
      </w:r>
      <w:r>
        <w:t xml:space="preserve">tish rule. In earlier days, education this in the region was closely associated with religion and was centered round mosques, temples, and </w:t>
      </w:r>
      <w:proofErr w:type="gramStart"/>
      <w:r>
        <w:t>monasteries.</w:t>
      </w:r>
      <w:r>
        <w:rPr>
          <w:vertAlign w:val="superscript"/>
        </w:rPr>
        <w:t>[</w:t>
      </w:r>
      <w:proofErr w:type="gramEnd"/>
      <w:r>
        <w:rPr>
          <w:vertAlign w:val="superscript"/>
        </w:rPr>
        <w:t>7]</w:t>
      </w:r>
      <w:r>
        <w:t xml:space="preserve"> In those days, knowledge was regarded as scared trust and was passed down from, the teacher to his pu</w:t>
      </w:r>
      <w:r>
        <w:t>pils. The teachers were given great respect in ancient Indian culture and mores. A very close and devotional teacher-student relationship existed at that time. A new phase of Indian education began in the 19</w:t>
      </w:r>
      <w:r>
        <w:rPr>
          <w:vertAlign w:val="superscript"/>
        </w:rPr>
        <w:t>th</w:t>
      </w:r>
      <w:r>
        <w:t xml:space="preserve"> century under the colonial </w:t>
      </w:r>
      <w:proofErr w:type="gramStart"/>
      <w:r>
        <w:t>administration.</w:t>
      </w:r>
      <w:r>
        <w:rPr>
          <w:vertAlign w:val="superscript"/>
        </w:rPr>
        <w:t>[</w:t>
      </w:r>
      <w:proofErr w:type="gramEnd"/>
      <w:r>
        <w:rPr>
          <w:vertAlign w:val="superscript"/>
        </w:rPr>
        <w:t>8]</w:t>
      </w:r>
      <w:r>
        <w:t xml:space="preserve"> </w:t>
      </w:r>
      <w:r>
        <w:t>There was controversy at the initial stage as to whether indigenous tradition of Indian education was to continue or the western mode of education was to be introduced. After the independence, of Bangladesh in 1971, western experts were consulted and emplo</w:t>
      </w:r>
      <w:r>
        <w:t xml:space="preserve">yed to shape the educational policy of the </w:t>
      </w:r>
      <w:proofErr w:type="gramStart"/>
      <w:r>
        <w:t>country.</w:t>
      </w:r>
      <w:r>
        <w:rPr>
          <w:vertAlign w:val="superscript"/>
        </w:rPr>
        <w:t>[</w:t>
      </w:r>
      <w:proofErr w:type="gramEnd"/>
      <w:r>
        <w:rPr>
          <w:vertAlign w:val="superscript"/>
        </w:rPr>
        <w:t>10]</w:t>
      </w:r>
      <w:r>
        <w:t xml:space="preserve"> International agencies such as  </w:t>
      </w:r>
    </w:p>
    <w:p w:rsidR="00E44FD5" w:rsidRDefault="0038505C">
      <w:pPr>
        <w:spacing w:after="231"/>
        <w:ind w:left="-5" w:right="0"/>
      </w:pPr>
      <w:r>
        <w:t>UNESCO, British Council, Ford Foundation, American Cultural Centre and local non-govt. organization like BRAC among many others have actively helped to improve the for</w:t>
      </w:r>
      <w:r>
        <w:t xml:space="preserve">mal education system in this </w:t>
      </w:r>
      <w:proofErr w:type="gramStart"/>
      <w:r>
        <w:t>country.</w:t>
      </w:r>
      <w:r>
        <w:rPr>
          <w:vertAlign w:val="superscript"/>
        </w:rPr>
        <w:t>[</w:t>
      </w:r>
      <w:proofErr w:type="gramEnd"/>
      <w:r>
        <w:rPr>
          <w:vertAlign w:val="superscript"/>
        </w:rPr>
        <w:t>10]</w:t>
      </w:r>
      <w:r>
        <w:t xml:space="preserve"> For most subjects at the higher level of education books were imported from the western countries. A large numbers of University academies of Bangladesh obtained postgraduate degrees and professional trainings from</w:t>
      </w:r>
      <w:r>
        <w:t xml:space="preserve"> the western countries. The western mode of education was significantly different from those of this sub-continent which influenced the educational philosophy of this country. The country has educational exchange program with many countries such as Austral</w:t>
      </w:r>
      <w:r>
        <w:t xml:space="preserve">ia, China, UK, Japan, Malaysia, India and USA among </w:t>
      </w:r>
      <w:proofErr w:type="gramStart"/>
      <w:r>
        <w:t>others.</w:t>
      </w:r>
      <w:r>
        <w:rPr>
          <w:vertAlign w:val="superscript"/>
        </w:rPr>
        <w:t>[</w:t>
      </w:r>
      <w:proofErr w:type="gramEnd"/>
      <w:r>
        <w:rPr>
          <w:vertAlign w:val="superscript"/>
        </w:rPr>
        <w:t>11]</w:t>
      </w:r>
      <w:r>
        <w:t xml:space="preserve">      </w:t>
      </w:r>
    </w:p>
    <w:p w:rsidR="00E44FD5" w:rsidRDefault="0038505C">
      <w:pPr>
        <w:pStyle w:val="Heading1"/>
        <w:spacing w:after="173"/>
        <w:ind w:left="-5"/>
      </w:pPr>
      <w:r>
        <w:t xml:space="preserve">3. Statement of the Problem </w:t>
      </w:r>
    </w:p>
    <w:p w:rsidR="00E44FD5" w:rsidRDefault="0038505C">
      <w:pPr>
        <w:ind w:left="-5" w:right="0"/>
      </w:pPr>
      <w:r>
        <w:t>Society and social environment change with the passage of time. Education is such a tool that can bring positive change. Through formal education, government of Bangladesh is trying continuously to enhance the literacy rate i.e. enrollment rate, reducing d</w:t>
      </w:r>
      <w:r>
        <w:t xml:space="preserve">rop-out rate, increasing girl’s enrollment rate </w:t>
      </w:r>
      <w:proofErr w:type="gramStart"/>
      <w:r>
        <w:t>etc.</w:t>
      </w:r>
      <w:r>
        <w:rPr>
          <w:vertAlign w:val="superscript"/>
        </w:rPr>
        <w:t>[</w:t>
      </w:r>
      <w:proofErr w:type="gramEnd"/>
      <w:r>
        <w:rPr>
          <w:vertAlign w:val="superscript"/>
        </w:rPr>
        <w:t>12]</w:t>
      </w:r>
      <w:r>
        <w:t xml:space="preserve"> These initiatives have brought some positive change in society and on environment. The present study is devoted to explore the impact of the formal education on society and economy. Several </w:t>
      </w:r>
      <w:proofErr w:type="spellStart"/>
      <w:r>
        <w:t>researche</w:t>
      </w:r>
      <w:r>
        <w:t>s</w:t>
      </w:r>
      <w:proofErr w:type="spellEnd"/>
      <w:r>
        <w:t xml:space="preserve"> have identified the problems and prospects of formal education but there have been little or no attempt to assess the impact of formal education on family and society in respect of </w:t>
      </w:r>
      <w:proofErr w:type="spellStart"/>
      <w:r>
        <w:t>incomeearnings</w:t>
      </w:r>
      <w:proofErr w:type="spellEnd"/>
      <w:r>
        <w:t>, mode of expenditure on education, health, sanitation, and</w:t>
      </w:r>
      <w:r>
        <w:t xml:space="preserve"> family planning and so on. Similarly, little or no attempt has been made to assess its impact of formal education on physical and social </w:t>
      </w:r>
      <w:proofErr w:type="gramStart"/>
      <w:r>
        <w:t>environment.</w:t>
      </w:r>
      <w:r>
        <w:rPr>
          <w:vertAlign w:val="superscript"/>
        </w:rPr>
        <w:t>[</w:t>
      </w:r>
      <w:proofErr w:type="gramEnd"/>
      <w:r>
        <w:rPr>
          <w:vertAlign w:val="superscript"/>
        </w:rPr>
        <w:t>13]</w:t>
      </w:r>
      <w:r>
        <w:t xml:space="preserve"> After completion the study we can easily compare the literate and illiterate people of their economy </w:t>
      </w:r>
      <w:r>
        <w:t xml:space="preserve">and social values.     </w:t>
      </w:r>
    </w:p>
    <w:p w:rsidR="00E44FD5" w:rsidRDefault="0038505C">
      <w:pPr>
        <w:pStyle w:val="Heading1"/>
        <w:spacing w:after="176"/>
        <w:ind w:left="-5"/>
      </w:pPr>
      <w:r>
        <w:t xml:space="preserve">4. Conceptual Frame Work  </w:t>
      </w:r>
    </w:p>
    <w:p w:rsidR="00E44FD5" w:rsidRDefault="0038505C">
      <w:pPr>
        <w:ind w:left="-5" w:right="0"/>
      </w:pPr>
      <w:r>
        <w:t xml:space="preserve">Definitions of some key concepts of the study have been discussed below. </w:t>
      </w:r>
    </w:p>
    <w:p w:rsidR="00E44FD5" w:rsidRDefault="0038505C">
      <w:pPr>
        <w:pStyle w:val="Heading2"/>
        <w:ind w:left="-5"/>
      </w:pPr>
      <w:r>
        <w:t xml:space="preserve">4.1 Formal Education </w:t>
      </w:r>
    </w:p>
    <w:p w:rsidR="00E44FD5" w:rsidRDefault="0038505C">
      <w:pPr>
        <w:ind w:left="-5" w:right="0"/>
      </w:pPr>
      <w:r>
        <w:t>As normally used, the term formal education refers to the structured educational system provided by the state</w:t>
      </w:r>
      <w:r>
        <w:t xml:space="preserve"> for children. In most countries, the formal education system is state-supported and </w:t>
      </w:r>
      <w:proofErr w:type="spellStart"/>
      <w:r>
        <w:t>stateoperated</w:t>
      </w:r>
      <w:proofErr w:type="spellEnd"/>
      <w:r>
        <w:t xml:space="preserve">. In some countries, the state allows and certifies private systems which provide a comparable </w:t>
      </w:r>
      <w:proofErr w:type="gramStart"/>
      <w:r>
        <w:t>education.</w:t>
      </w:r>
      <w:r>
        <w:rPr>
          <w:vertAlign w:val="superscript"/>
        </w:rPr>
        <w:t>[</w:t>
      </w:r>
      <w:proofErr w:type="gramEnd"/>
      <w:r>
        <w:rPr>
          <w:vertAlign w:val="superscript"/>
        </w:rPr>
        <w:t xml:space="preserve">14] </w:t>
      </w:r>
      <w:r>
        <w:t>Formal education is the education which we get f</w:t>
      </w:r>
      <w:r>
        <w:t xml:space="preserve">rom different kinds of institutions like schools, colleges, Universities etc. A formal education program is the process of training and developing people in knowledge, skills, mind and character in a </w:t>
      </w:r>
      <w:proofErr w:type="gramStart"/>
      <w:r>
        <w:t>structured and certified programs</w:t>
      </w:r>
      <w:proofErr w:type="gramEnd"/>
      <w:r>
        <w:t xml:space="preserve">.  </w:t>
      </w:r>
    </w:p>
    <w:p w:rsidR="00E44FD5" w:rsidRDefault="0038505C">
      <w:pPr>
        <w:pStyle w:val="Heading1"/>
        <w:spacing w:after="173"/>
        <w:ind w:left="-5"/>
      </w:pPr>
      <w:r>
        <w:t>5. The Present Educ</w:t>
      </w:r>
      <w:r>
        <w:t>ation System of Bangladesh</w:t>
      </w:r>
      <w:r>
        <w:rPr>
          <w:b w:val="0"/>
        </w:rPr>
        <w:t xml:space="preserve">  </w:t>
      </w:r>
    </w:p>
    <w:p w:rsidR="00E44FD5" w:rsidRDefault="0038505C">
      <w:pPr>
        <w:spacing w:after="239"/>
        <w:ind w:left="-5" w:right="0"/>
      </w:pPr>
      <w:r>
        <w:t xml:space="preserve">The present education system of Bangladesh may be broadly divided into three major stages, viz. primary, secondary and higher </w:t>
      </w:r>
      <w:proofErr w:type="gramStart"/>
      <w:r>
        <w:t>education.</w:t>
      </w:r>
      <w:r>
        <w:rPr>
          <w:vertAlign w:val="superscript"/>
        </w:rPr>
        <w:t>[</w:t>
      </w:r>
      <w:proofErr w:type="gramEnd"/>
      <w:r>
        <w:rPr>
          <w:vertAlign w:val="superscript"/>
        </w:rPr>
        <w:t>15]</w:t>
      </w:r>
      <w:r>
        <w:t xml:space="preserve"> Primary level institutions impart primary education basically. Secondary education is imparted by junior secondary/secondary and higher secondary.</w:t>
      </w:r>
      <w:r>
        <w:rPr>
          <w:vertAlign w:val="superscript"/>
        </w:rPr>
        <w:t>[16]</w:t>
      </w:r>
      <w:r>
        <w:t xml:space="preserve"> Degree pass, degree honors, masters and other higher-level institutions or equivalent section of other r</w:t>
      </w:r>
      <w:r>
        <w:t>elated institutions imparts higher education.</w:t>
      </w:r>
      <w:r>
        <w:rPr>
          <w:vertAlign w:val="superscript"/>
        </w:rPr>
        <w:t>[17]</w:t>
      </w:r>
      <w:r>
        <w:t xml:space="preserve"> The education system is operationally categorized into two streams: primary education (Grade I-V) managed by the Primary and Mass Education Division (PMED) under the helm of a Secretary; and the other syste</w:t>
      </w:r>
      <w:r>
        <w:t>m is the post- primary education which covers all the other levels from junior secondary to higher education under the administration and supervision of the Secretary of the Ministry of Education (MOE).</w:t>
      </w:r>
      <w:r>
        <w:rPr>
          <w:vertAlign w:val="superscript"/>
        </w:rPr>
        <w:t>[18]</w:t>
      </w:r>
      <w:r>
        <w:t xml:space="preserve"> However both PMEI) and MOE are under the directio</w:t>
      </w:r>
      <w:r>
        <w:t xml:space="preserve">n of a Minister. The post-primary stream of education is further classified into four types in terms of curriculum general education, madrasah education, technical-vocational education and professional </w:t>
      </w:r>
      <w:proofErr w:type="gramStart"/>
      <w:r>
        <w:t>education.</w:t>
      </w:r>
      <w:r>
        <w:rPr>
          <w:vertAlign w:val="superscript"/>
        </w:rPr>
        <w:t>[</w:t>
      </w:r>
      <w:proofErr w:type="gramEnd"/>
      <w:r>
        <w:rPr>
          <w:vertAlign w:val="superscript"/>
        </w:rPr>
        <w:t>19]</w:t>
      </w:r>
      <w:r>
        <w:t xml:space="preserve"> </w:t>
      </w:r>
    </w:p>
    <w:p w:rsidR="00E44FD5" w:rsidRDefault="0038505C">
      <w:pPr>
        <w:spacing w:after="176" w:line="259" w:lineRule="auto"/>
        <w:ind w:left="-5" w:right="0"/>
        <w:jc w:val="left"/>
      </w:pPr>
      <w:r>
        <w:rPr>
          <w:b/>
        </w:rPr>
        <w:t xml:space="preserve">6. Objectives of the Study </w:t>
      </w:r>
    </w:p>
    <w:p w:rsidR="00E44FD5" w:rsidRDefault="0038505C">
      <w:pPr>
        <w:ind w:left="-5" w:right="0"/>
      </w:pPr>
      <w:r>
        <w:t>To know th</w:t>
      </w:r>
      <w:r>
        <w:t xml:space="preserve">e socio-economic and behavioral change between literate and illiterate people. </w:t>
      </w:r>
    </w:p>
    <w:p w:rsidR="00E44FD5" w:rsidRDefault="0038505C">
      <w:pPr>
        <w:spacing w:after="185" w:line="259" w:lineRule="auto"/>
        <w:ind w:left="0" w:right="0" w:firstLine="0"/>
        <w:jc w:val="left"/>
      </w:pPr>
      <w:r>
        <w:t xml:space="preserve"> </w:t>
      </w:r>
    </w:p>
    <w:p w:rsidR="00E44FD5" w:rsidRDefault="0038505C">
      <w:pPr>
        <w:pStyle w:val="Heading1"/>
        <w:spacing w:after="176"/>
        <w:ind w:left="-5"/>
      </w:pPr>
      <w:r>
        <w:t xml:space="preserve">7. Rationale of the Study </w:t>
      </w:r>
    </w:p>
    <w:p w:rsidR="00E44FD5" w:rsidRDefault="0038505C">
      <w:pPr>
        <w:ind w:left="-5" w:right="0"/>
      </w:pPr>
      <w:r>
        <w:t>It is universally believed that education is the backbone of a nation. No nation can prosper without education. We have many educational institutio</w:t>
      </w:r>
      <w:r>
        <w:t xml:space="preserve">ns in our country compared to other Asian countries but how much the quality of education is being maintained is yet to be </w:t>
      </w:r>
      <w:proofErr w:type="gramStart"/>
      <w:r>
        <w:t>assessed.</w:t>
      </w:r>
      <w:r>
        <w:rPr>
          <w:vertAlign w:val="superscript"/>
        </w:rPr>
        <w:t>[</w:t>
      </w:r>
      <w:proofErr w:type="gramEnd"/>
      <w:r>
        <w:rPr>
          <w:vertAlign w:val="superscript"/>
        </w:rPr>
        <w:t>20]</w:t>
      </w:r>
      <w:r>
        <w:t xml:space="preserve"> As this study in concerned on the impact of the formal education, it may ventilate the real situation of our formal edu</w:t>
      </w:r>
      <w:r>
        <w:t xml:space="preserve">cation as well as its impact on the society and economy. This study would explore the development of education in general and its impact in particular on our society and environment. The study may be of helpful to the policy makers and future researchers. </w:t>
      </w:r>
      <w:r>
        <w:t xml:space="preserve">Practical recommendations of this study may bring positive and qualitative change of our formal education system in Bangladesh. </w:t>
      </w:r>
    </w:p>
    <w:p w:rsidR="00E44FD5" w:rsidRDefault="0038505C">
      <w:pPr>
        <w:pStyle w:val="Heading1"/>
        <w:spacing w:after="176"/>
        <w:ind w:left="-5"/>
      </w:pPr>
      <w:r>
        <w:t>8. Research Methodology</w:t>
      </w:r>
      <w:r>
        <w:rPr>
          <w:b w:val="0"/>
        </w:rPr>
        <w:t xml:space="preserve"> </w:t>
      </w:r>
    </w:p>
    <w:p w:rsidR="00E44FD5" w:rsidRDefault="0038505C">
      <w:pPr>
        <w:ind w:left="-5" w:right="0"/>
      </w:pPr>
      <w:r>
        <w:t>Social survey method has been adopted to collect basic information from the field. The required data h</w:t>
      </w:r>
      <w:r>
        <w:t>ave been collected from both primary and secondary sources. For primary source, the data were collected through structured questionnaire relating to the impact of formal education from the two types of the respondents, literate and illiterate.   The second</w:t>
      </w:r>
      <w:r>
        <w:t xml:space="preserve">ary data and information have been collected from relevant government publications including acts, ordinances and programs and from various official documents. </w:t>
      </w:r>
      <w:proofErr w:type="gramStart"/>
      <w:r>
        <w:t>Moreover</w:t>
      </w:r>
      <w:proofErr w:type="gramEnd"/>
      <w:r>
        <w:t xml:space="preserve"> the relevant books, journals, articles, newspapers, dissertations </w:t>
      </w:r>
      <w:proofErr w:type="spellStart"/>
      <w:r>
        <w:t>etc</w:t>
      </w:r>
      <w:proofErr w:type="spellEnd"/>
      <w:r>
        <w:t xml:space="preserve"> have also been us</w:t>
      </w:r>
      <w:r>
        <w:t xml:space="preserve">ed as secondary sources. </w:t>
      </w:r>
      <w:proofErr w:type="spellStart"/>
      <w:r>
        <w:t>Raninagar</w:t>
      </w:r>
      <w:proofErr w:type="spellEnd"/>
      <w:r>
        <w:t xml:space="preserve"> </w:t>
      </w:r>
      <w:proofErr w:type="spellStart"/>
      <w:r>
        <w:t>Upazila</w:t>
      </w:r>
      <w:proofErr w:type="spellEnd"/>
      <w:r>
        <w:t xml:space="preserve"> of Nagaon District has purposively been selected as a study field for the proposed study. For the suitable location of the study area, the objectives may be tested well. Two villages like </w:t>
      </w:r>
      <w:proofErr w:type="spellStart"/>
      <w:r>
        <w:t>Dhonopra</w:t>
      </w:r>
      <w:proofErr w:type="spellEnd"/>
      <w:r>
        <w:t xml:space="preserve"> and </w:t>
      </w:r>
      <w:proofErr w:type="spellStart"/>
      <w:r>
        <w:t>Kalikapur</w:t>
      </w:r>
      <w:proofErr w:type="spellEnd"/>
      <w:r>
        <w:t xml:space="preserve"> we</w:t>
      </w:r>
      <w:r>
        <w:t>re selected on a random basis. As good as, 60 samples were drawn both from literate (30) and illiterate (30) families residing in the study area. A comparison has to be made to assess the role of formally educated and non-educated persons in respect of inc</w:t>
      </w:r>
      <w:r>
        <w:t xml:space="preserve">ome-earnings, expenditure, life style and standard of living of both the sections along with their family size, structure, education of their </w:t>
      </w:r>
      <w:proofErr w:type="spellStart"/>
      <w:r>
        <w:t>offsprings</w:t>
      </w:r>
      <w:proofErr w:type="spellEnd"/>
      <w:r>
        <w:t>, health, hygiene, sanitation etc. side by side the role of both the groups to be assessed in respect of</w:t>
      </w:r>
      <w:r>
        <w:t xml:space="preserve"> changing physical and social environmental conditions. Data were also reviewed, classified, tabulated, analyzed and then evaluated. Collected data have been presented in tables. These tables are prepared in order to show percentages. The data have been an</w:t>
      </w:r>
      <w:r>
        <w:t xml:space="preserve">alyzed and presented in an orderly and systematic ways of some statistical techniques. </w:t>
      </w:r>
    </w:p>
    <w:p w:rsidR="00E44FD5" w:rsidRDefault="0038505C">
      <w:pPr>
        <w:pStyle w:val="Heading1"/>
        <w:spacing w:after="173"/>
        <w:ind w:left="-5"/>
      </w:pPr>
      <w:r>
        <w:t xml:space="preserve">9. Socio-economic Background of the Respondent </w:t>
      </w:r>
    </w:p>
    <w:p w:rsidR="00E44FD5" w:rsidRDefault="0038505C">
      <w:pPr>
        <w:spacing w:after="223"/>
        <w:ind w:left="-5" w:right="0"/>
      </w:pPr>
      <w:r>
        <w:t>Socio-economic background plays an important role in human life. It is known to all that the man who is economically and</w:t>
      </w:r>
      <w:r>
        <w:t xml:space="preserve"> socially well off, can enjoy life as to the expectation. But who lags behind, suffers in every sphere of life. </w:t>
      </w:r>
      <w:proofErr w:type="gramStart"/>
      <w:r>
        <w:t>Again</w:t>
      </w:r>
      <w:proofErr w:type="gramEnd"/>
      <w:r>
        <w:t xml:space="preserve"> the researcher wants to differentiate between literate and illiterate respondents in respect of economic and familial status so that it wo</w:t>
      </w:r>
      <w:r>
        <w:t xml:space="preserve">uld be easy to understand the changing pattern of their life style. In this chapter, the family status and earning and expenditure status of the respondents has been discussed.  </w:t>
      </w:r>
    </w:p>
    <w:p w:rsidR="00E44FD5" w:rsidRDefault="0038505C">
      <w:pPr>
        <w:tabs>
          <w:tab w:val="center" w:pos="3499"/>
        </w:tabs>
        <w:spacing w:after="177" w:line="259" w:lineRule="auto"/>
        <w:ind w:left="-15" w:right="0" w:firstLine="0"/>
        <w:jc w:val="left"/>
      </w:pPr>
      <w:r>
        <w:rPr>
          <w:b/>
          <w:i/>
        </w:rPr>
        <w:t xml:space="preserve">9.1 Family Size of the Respondents </w:t>
      </w:r>
      <w:r>
        <w:rPr>
          <w:b/>
          <w:i/>
        </w:rPr>
        <w:tab/>
        <w:t xml:space="preserve"> </w:t>
      </w:r>
    </w:p>
    <w:p w:rsidR="00E44FD5" w:rsidRDefault="0038505C">
      <w:pPr>
        <w:ind w:left="-5" w:right="0"/>
      </w:pPr>
      <w:r>
        <w:t>The family size of the respondents in t</w:t>
      </w:r>
      <w:r>
        <w:t>he study area is shown   in the following table.</w:t>
      </w:r>
      <w:r>
        <w:rPr>
          <w:b/>
        </w:rPr>
        <w:t xml:space="preserve"> </w:t>
      </w:r>
    </w:p>
    <w:p w:rsidR="00E44FD5" w:rsidRDefault="0038505C">
      <w:pPr>
        <w:pStyle w:val="Heading1"/>
        <w:ind w:left="-5"/>
      </w:pPr>
      <w:r>
        <w:t xml:space="preserve">Table—9.1. Family Size of the Respondents </w:t>
      </w:r>
    </w:p>
    <w:tbl>
      <w:tblPr>
        <w:tblStyle w:val="TableGrid"/>
        <w:tblW w:w="9046" w:type="dxa"/>
        <w:tblInd w:w="0" w:type="dxa"/>
        <w:tblCellMar>
          <w:top w:w="51" w:type="dxa"/>
          <w:left w:w="113" w:type="dxa"/>
          <w:bottom w:w="0" w:type="dxa"/>
          <w:right w:w="65" w:type="dxa"/>
        </w:tblCellMar>
        <w:tblLook w:val="04A0" w:firstRow="1" w:lastRow="0" w:firstColumn="1" w:lastColumn="0" w:noHBand="0" w:noVBand="1"/>
      </w:tblPr>
      <w:tblGrid>
        <w:gridCol w:w="2510"/>
        <w:gridCol w:w="1445"/>
        <w:gridCol w:w="1697"/>
        <w:gridCol w:w="1697"/>
        <w:gridCol w:w="1697"/>
      </w:tblGrid>
      <w:tr w:rsidR="00E44FD5">
        <w:trPr>
          <w:trHeight w:val="240"/>
        </w:trPr>
        <w:tc>
          <w:tcPr>
            <w:tcW w:w="251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0" w:firstLine="0"/>
              <w:jc w:val="left"/>
            </w:pPr>
            <w:r>
              <w:rPr>
                <w:b/>
              </w:rPr>
              <w:t xml:space="preserve">Number of family member </w:t>
            </w:r>
          </w:p>
        </w:tc>
        <w:tc>
          <w:tcPr>
            <w:tcW w:w="3142" w:type="dxa"/>
            <w:gridSpan w:val="2"/>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2" w:firstLine="0"/>
              <w:jc w:val="center"/>
            </w:pPr>
            <w:r>
              <w:rPr>
                <w:b/>
              </w:rPr>
              <w:t xml:space="preserve">Literate respondents </w:t>
            </w:r>
          </w:p>
        </w:tc>
        <w:tc>
          <w:tcPr>
            <w:tcW w:w="3394" w:type="dxa"/>
            <w:gridSpan w:val="2"/>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9" w:firstLine="0"/>
              <w:jc w:val="center"/>
            </w:pPr>
            <w:r>
              <w:rPr>
                <w:b/>
              </w:rPr>
              <w:t xml:space="preserve">Illiterate respondents </w:t>
            </w:r>
          </w:p>
        </w:tc>
      </w:tr>
      <w:tr w:rsidR="00E44FD5">
        <w:trPr>
          <w:trHeight w:val="240"/>
        </w:trPr>
        <w:tc>
          <w:tcPr>
            <w:tcW w:w="251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6" w:firstLine="0"/>
              <w:jc w:val="center"/>
            </w:pPr>
            <w:r>
              <w:t xml:space="preserve">01-02 </w:t>
            </w:r>
          </w:p>
        </w:tc>
        <w:tc>
          <w:tcPr>
            <w:tcW w:w="1445"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9" w:firstLine="0"/>
              <w:jc w:val="center"/>
            </w:pPr>
            <w:r>
              <w:t xml:space="preserve">6 </w:t>
            </w:r>
          </w:p>
        </w:tc>
        <w:tc>
          <w:tcPr>
            <w:tcW w:w="169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7" w:firstLine="0"/>
              <w:jc w:val="center"/>
            </w:pPr>
            <w:r>
              <w:t xml:space="preserve">20% </w:t>
            </w:r>
          </w:p>
        </w:tc>
        <w:tc>
          <w:tcPr>
            <w:tcW w:w="169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1" w:firstLine="0"/>
              <w:jc w:val="center"/>
            </w:pPr>
            <w:r>
              <w:t xml:space="preserve">3 </w:t>
            </w:r>
          </w:p>
        </w:tc>
        <w:tc>
          <w:tcPr>
            <w:tcW w:w="169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7" w:firstLine="0"/>
              <w:jc w:val="center"/>
            </w:pPr>
            <w:r>
              <w:t xml:space="preserve">10% </w:t>
            </w:r>
          </w:p>
        </w:tc>
      </w:tr>
      <w:tr w:rsidR="00E44FD5">
        <w:trPr>
          <w:trHeight w:val="240"/>
        </w:trPr>
        <w:tc>
          <w:tcPr>
            <w:tcW w:w="251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6" w:firstLine="0"/>
              <w:jc w:val="center"/>
            </w:pPr>
            <w:r>
              <w:t xml:space="preserve">03-04 </w:t>
            </w:r>
          </w:p>
        </w:tc>
        <w:tc>
          <w:tcPr>
            <w:tcW w:w="1445"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9" w:firstLine="0"/>
              <w:jc w:val="center"/>
            </w:pPr>
            <w:r>
              <w:t xml:space="preserve">5 </w:t>
            </w:r>
          </w:p>
        </w:tc>
        <w:tc>
          <w:tcPr>
            <w:tcW w:w="169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5" w:firstLine="0"/>
              <w:jc w:val="center"/>
            </w:pPr>
            <w:r>
              <w:t xml:space="preserve">16.67% </w:t>
            </w:r>
          </w:p>
        </w:tc>
        <w:tc>
          <w:tcPr>
            <w:tcW w:w="169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1" w:firstLine="0"/>
              <w:jc w:val="center"/>
            </w:pPr>
            <w:r>
              <w:t xml:space="preserve">8 </w:t>
            </w:r>
          </w:p>
        </w:tc>
        <w:tc>
          <w:tcPr>
            <w:tcW w:w="169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5" w:firstLine="0"/>
              <w:jc w:val="center"/>
            </w:pPr>
            <w:r>
              <w:t xml:space="preserve">26.67% </w:t>
            </w:r>
          </w:p>
        </w:tc>
      </w:tr>
      <w:tr w:rsidR="00E44FD5">
        <w:trPr>
          <w:trHeight w:val="240"/>
        </w:trPr>
        <w:tc>
          <w:tcPr>
            <w:tcW w:w="251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6" w:firstLine="0"/>
              <w:jc w:val="center"/>
            </w:pPr>
            <w:r>
              <w:t xml:space="preserve">05-06 </w:t>
            </w:r>
          </w:p>
        </w:tc>
        <w:tc>
          <w:tcPr>
            <w:tcW w:w="1445"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9" w:firstLine="0"/>
              <w:jc w:val="center"/>
            </w:pPr>
            <w:r>
              <w:t xml:space="preserve">13 </w:t>
            </w:r>
          </w:p>
        </w:tc>
        <w:tc>
          <w:tcPr>
            <w:tcW w:w="169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5" w:firstLine="0"/>
              <w:jc w:val="center"/>
            </w:pPr>
            <w:r>
              <w:t xml:space="preserve">43.33% </w:t>
            </w:r>
          </w:p>
        </w:tc>
        <w:tc>
          <w:tcPr>
            <w:tcW w:w="169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6" w:firstLine="0"/>
              <w:jc w:val="center"/>
            </w:pPr>
            <w:r>
              <w:t xml:space="preserve">15 </w:t>
            </w:r>
          </w:p>
        </w:tc>
        <w:tc>
          <w:tcPr>
            <w:tcW w:w="169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7" w:firstLine="0"/>
              <w:jc w:val="center"/>
            </w:pPr>
            <w:r>
              <w:t xml:space="preserve">50% </w:t>
            </w:r>
          </w:p>
        </w:tc>
      </w:tr>
      <w:tr w:rsidR="00E44FD5">
        <w:trPr>
          <w:trHeight w:val="240"/>
        </w:trPr>
        <w:tc>
          <w:tcPr>
            <w:tcW w:w="251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6" w:firstLine="0"/>
              <w:jc w:val="center"/>
            </w:pPr>
            <w:r>
              <w:t xml:space="preserve">07-08 </w:t>
            </w:r>
          </w:p>
        </w:tc>
        <w:tc>
          <w:tcPr>
            <w:tcW w:w="1445"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9" w:firstLine="0"/>
              <w:jc w:val="center"/>
            </w:pPr>
            <w:r>
              <w:t xml:space="preserve">3 </w:t>
            </w:r>
          </w:p>
        </w:tc>
        <w:tc>
          <w:tcPr>
            <w:tcW w:w="169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7" w:firstLine="0"/>
              <w:jc w:val="center"/>
            </w:pPr>
            <w:r>
              <w:t xml:space="preserve">10% </w:t>
            </w:r>
          </w:p>
        </w:tc>
        <w:tc>
          <w:tcPr>
            <w:tcW w:w="169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1" w:firstLine="0"/>
              <w:jc w:val="center"/>
            </w:pPr>
            <w:r>
              <w:t xml:space="preserve">2 </w:t>
            </w:r>
          </w:p>
        </w:tc>
        <w:tc>
          <w:tcPr>
            <w:tcW w:w="169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5" w:firstLine="0"/>
              <w:jc w:val="center"/>
            </w:pPr>
            <w:r>
              <w:t xml:space="preserve">6.66% </w:t>
            </w:r>
          </w:p>
        </w:tc>
      </w:tr>
      <w:tr w:rsidR="00E44FD5">
        <w:trPr>
          <w:trHeight w:val="240"/>
        </w:trPr>
        <w:tc>
          <w:tcPr>
            <w:tcW w:w="251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1" w:firstLine="0"/>
              <w:jc w:val="center"/>
            </w:pPr>
            <w:r>
              <w:t xml:space="preserve">More than 08 </w:t>
            </w:r>
          </w:p>
        </w:tc>
        <w:tc>
          <w:tcPr>
            <w:tcW w:w="1445"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9" w:firstLine="0"/>
              <w:jc w:val="center"/>
            </w:pPr>
            <w:r>
              <w:t xml:space="preserve">3 </w:t>
            </w:r>
          </w:p>
        </w:tc>
        <w:tc>
          <w:tcPr>
            <w:tcW w:w="169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7" w:firstLine="0"/>
              <w:jc w:val="center"/>
            </w:pPr>
            <w:r>
              <w:t xml:space="preserve">10% </w:t>
            </w:r>
          </w:p>
        </w:tc>
        <w:tc>
          <w:tcPr>
            <w:tcW w:w="169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1" w:firstLine="0"/>
              <w:jc w:val="center"/>
            </w:pPr>
            <w:r>
              <w:t xml:space="preserve">2 </w:t>
            </w:r>
          </w:p>
        </w:tc>
        <w:tc>
          <w:tcPr>
            <w:tcW w:w="169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5" w:firstLine="0"/>
              <w:jc w:val="center"/>
            </w:pPr>
            <w:r>
              <w:t xml:space="preserve">6.66% </w:t>
            </w:r>
          </w:p>
        </w:tc>
      </w:tr>
      <w:tr w:rsidR="00E44FD5">
        <w:trPr>
          <w:trHeight w:val="242"/>
        </w:trPr>
        <w:tc>
          <w:tcPr>
            <w:tcW w:w="251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2" w:firstLine="0"/>
              <w:jc w:val="center"/>
            </w:pPr>
            <w:r>
              <w:t xml:space="preserve">Total respondents </w:t>
            </w:r>
          </w:p>
        </w:tc>
        <w:tc>
          <w:tcPr>
            <w:tcW w:w="1445"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9" w:firstLine="0"/>
              <w:jc w:val="center"/>
            </w:pPr>
            <w:r>
              <w:t xml:space="preserve">30 </w:t>
            </w:r>
          </w:p>
        </w:tc>
        <w:tc>
          <w:tcPr>
            <w:tcW w:w="169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7" w:firstLine="0"/>
              <w:jc w:val="center"/>
            </w:pPr>
            <w:r>
              <w:t xml:space="preserve">100% </w:t>
            </w:r>
          </w:p>
        </w:tc>
        <w:tc>
          <w:tcPr>
            <w:tcW w:w="169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6" w:firstLine="0"/>
              <w:jc w:val="center"/>
            </w:pPr>
            <w:r>
              <w:t xml:space="preserve">30 </w:t>
            </w:r>
          </w:p>
        </w:tc>
        <w:tc>
          <w:tcPr>
            <w:tcW w:w="169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7" w:firstLine="0"/>
              <w:jc w:val="center"/>
            </w:pPr>
            <w:r>
              <w:t xml:space="preserve">100% </w:t>
            </w:r>
          </w:p>
        </w:tc>
      </w:tr>
    </w:tbl>
    <w:p w:rsidR="00E44FD5" w:rsidRDefault="0038505C">
      <w:pPr>
        <w:ind w:left="-5" w:right="0"/>
      </w:pPr>
      <w:r>
        <w:t>The table 9.1 shows that among the respondents, maximum families are consisted of 05—06 members. Both literate and illiterate respondents have to maintain 05—06 members’ family. Only 20% literate and 10% illiterate respondents having 01—02 members which me</w:t>
      </w:r>
      <w:r>
        <w:t xml:space="preserve">ans either unmarried or a couple without child or newly married.     </w:t>
      </w:r>
    </w:p>
    <w:p w:rsidR="00E44FD5" w:rsidRDefault="0038505C">
      <w:pPr>
        <w:spacing w:after="177" w:line="259" w:lineRule="auto"/>
        <w:ind w:left="-5" w:right="0"/>
        <w:jc w:val="left"/>
      </w:pPr>
      <w:r>
        <w:rPr>
          <w:b/>
          <w:i/>
        </w:rPr>
        <w:t>9.2 Family Structure</w:t>
      </w:r>
      <w:r>
        <w:rPr>
          <w:i/>
        </w:rPr>
        <w:t xml:space="preserve"> </w:t>
      </w:r>
    </w:p>
    <w:p w:rsidR="00E44FD5" w:rsidRDefault="0038505C">
      <w:pPr>
        <w:ind w:left="-5" w:right="0"/>
      </w:pPr>
      <w:r>
        <w:t xml:space="preserve">The following table reflects the family structure of the respondents in the study area.  </w:t>
      </w:r>
    </w:p>
    <w:p w:rsidR="00E44FD5" w:rsidRDefault="0038505C">
      <w:pPr>
        <w:spacing w:after="180" w:line="259" w:lineRule="auto"/>
        <w:ind w:left="0" w:right="0" w:firstLine="0"/>
        <w:jc w:val="left"/>
      </w:pPr>
      <w:r>
        <w:rPr>
          <w:b/>
        </w:rPr>
        <w:t xml:space="preserve"> </w:t>
      </w:r>
    </w:p>
    <w:p w:rsidR="00E44FD5" w:rsidRDefault="0038505C">
      <w:pPr>
        <w:pStyle w:val="Heading1"/>
        <w:ind w:left="-5"/>
      </w:pPr>
      <w:r>
        <w:t>Table—9.2 Family Structures of the Respondents</w:t>
      </w:r>
      <w:r>
        <w:rPr>
          <w:b w:val="0"/>
        </w:rPr>
        <w:t xml:space="preserve"> </w:t>
      </w:r>
    </w:p>
    <w:tbl>
      <w:tblPr>
        <w:tblStyle w:val="TableGrid"/>
        <w:tblW w:w="9062" w:type="dxa"/>
        <w:tblInd w:w="0" w:type="dxa"/>
        <w:tblCellMar>
          <w:top w:w="49" w:type="dxa"/>
          <w:left w:w="115" w:type="dxa"/>
          <w:bottom w:w="0" w:type="dxa"/>
          <w:right w:w="115" w:type="dxa"/>
        </w:tblCellMar>
        <w:tblLook w:val="04A0" w:firstRow="1" w:lastRow="0" w:firstColumn="1" w:lastColumn="0" w:noHBand="0" w:noVBand="1"/>
      </w:tblPr>
      <w:tblGrid>
        <w:gridCol w:w="2510"/>
        <w:gridCol w:w="1639"/>
        <w:gridCol w:w="1637"/>
        <w:gridCol w:w="1639"/>
        <w:gridCol w:w="1637"/>
      </w:tblGrid>
      <w:tr w:rsidR="00E44FD5">
        <w:trPr>
          <w:trHeight w:val="288"/>
        </w:trPr>
        <w:tc>
          <w:tcPr>
            <w:tcW w:w="251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 w:firstLine="0"/>
              <w:jc w:val="center"/>
            </w:pPr>
            <w:r>
              <w:t xml:space="preserve">Family structure </w:t>
            </w:r>
          </w:p>
        </w:tc>
        <w:tc>
          <w:tcPr>
            <w:tcW w:w="3276" w:type="dxa"/>
            <w:gridSpan w:val="2"/>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firstLine="0"/>
              <w:jc w:val="center"/>
            </w:pPr>
            <w:r>
              <w:t xml:space="preserve">Literate Respondents </w:t>
            </w:r>
          </w:p>
        </w:tc>
        <w:tc>
          <w:tcPr>
            <w:tcW w:w="3276" w:type="dxa"/>
            <w:gridSpan w:val="2"/>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2" w:firstLine="0"/>
              <w:jc w:val="center"/>
            </w:pPr>
            <w:r>
              <w:t xml:space="preserve">Illiterate Respondents </w:t>
            </w:r>
          </w:p>
        </w:tc>
      </w:tr>
      <w:tr w:rsidR="00E44FD5">
        <w:trPr>
          <w:trHeight w:val="245"/>
        </w:trPr>
        <w:tc>
          <w:tcPr>
            <w:tcW w:w="251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 w:firstLine="0"/>
              <w:jc w:val="center"/>
            </w:pPr>
            <w:r>
              <w:t xml:space="preserve">Nuclear </w:t>
            </w:r>
          </w:p>
        </w:tc>
        <w:tc>
          <w:tcPr>
            <w:tcW w:w="163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1" w:right="0" w:firstLine="0"/>
              <w:jc w:val="center"/>
            </w:pPr>
            <w:r>
              <w:t xml:space="preserve">15 </w:t>
            </w:r>
          </w:p>
        </w:tc>
        <w:tc>
          <w:tcPr>
            <w:tcW w:w="163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214" w:right="0" w:firstLine="0"/>
              <w:jc w:val="center"/>
            </w:pPr>
            <w:r>
              <w:t xml:space="preserve">50% </w:t>
            </w:r>
          </w:p>
        </w:tc>
        <w:tc>
          <w:tcPr>
            <w:tcW w:w="163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1" w:right="0" w:firstLine="0"/>
              <w:jc w:val="center"/>
            </w:pPr>
            <w:r>
              <w:t xml:space="preserve">14 </w:t>
            </w:r>
          </w:p>
        </w:tc>
        <w:tc>
          <w:tcPr>
            <w:tcW w:w="163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231" w:right="0" w:firstLine="0"/>
              <w:jc w:val="center"/>
            </w:pPr>
            <w:r>
              <w:t xml:space="preserve">46.67% </w:t>
            </w:r>
          </w:p>
        </w:tc>
      </w:tr>
      <w:tr w:rsidR="00E44FD5">
        <w:trPr>
          <w:trHeight w:val="226"/>
        </w:trPr>
        <w:tc>
          <w:tcPr>
            <w:tcW w:w="251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0" w:firstLine="0"/>
              <w:jc w:val="center"/>
            </w:pPr>
            <w:r>
              <w:t xml:space="preserve">Joint </w:t>
            </w:r>
          </w:p>
        </w:tc>
        <w:tc>
          <w:tcPr>
            <w:tcW w:w="163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firstLine="0"/>
              <w:jc w:val="center"/>
            </w:pPr>
            <w:r>
              <w:t xml:space="preserve">6 </w:t>
            </w:r>
          </w:p>
        </w:tc>
        <w:tc>
          <w:tcPr>
            <w:tcW w:w="163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161" w:right="0" w:firstLine="0"/>
              <w:jc w:val="center"/>
            </w:pPr>
            <w:r>
              <w:t xml:space="preserve">20% </w:t>
            </w:r>
          </w:p>
        </w:tc>
        <w:tc>
          <w:tcPr>
            <w:tcW w:w="163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firstLine="0"/>
              <w:jc w:val="center"/>
            </w:pPr>
            <w:r>
              <w:t xml:space="preserve">7 </w:t>
            </w:r>
          </w:p>
        </w:tc>
        <w:tc>
          <w:tcPr>
            <w:tcW w:w="163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216" w:right="0" w:firstLine="0"/>
              <w:jc w:val="center"/>
            </w:pPr>
            <w:r>
              <w:t xml:space="preserve">23.33% </w:t>
            </w:r>
          </w:p>
        </w:tc>
      </w:tr>
      <w:tr w:rsidR="00E44FD5">
        <w:trPr>
          <w:trHeight w:val="240"/>
        </w:trPr>
        <w:tc>
          <w:tcPr>
            <w:tcW w:w="251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6" w:firstLine="0"/>
              <w:jc w:val="center"/>
            </w:pPr>
            <w:r>
              <w:t xml:space="preserve">Extended </w:t>
            </w:r>
          </w:p>
        </w:tc>
        <w:tc>
          <w:tcPr>
            <w:tcW w:w="163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firstLine="0"/>
              <w:jc w:val="center"/>
            </w:pPr>
            <w:r>
              <w:t xml:space="preserve">9 </w:t>
            </w:r>
          </w:p>
        </w:tc>
        <w:tc>
          <w:tcPr>
            <w:tcW w:w="163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262" w:right="0" w:firstLine="0"/>
              <w:jc w:val="center"/>
            </w:pPr>
            <w:r>
              <w:t xml:space="preserve">30% </w:t>
            </w:r>
          </w:p>
        </w:tc>
        <w:tc>
          <w:tcPr>
            <w:tcW w:w="163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firstLine="0"/>
              <w:jc w:val="center"/>
            </w:pPr>
            <w:r>
              <w:t xml:space="preserve">9 </w:t>
            </w:r>
          </w:p>
        </w:tc>
        <w:tc>
          <w:tcPr>
            <w:tcW w:w="163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214" w:right="0" w:firstLine="0"/>
              <w:jc w:val="center"/>
            </w:pPr>
            <w:r>
              <w:t xml:space="preserve">30% </w:t>
            </w:r>
          </w:p>
        </w:tc>
      </w:tr>
      <w:tr w:rsidR="00E44FD5">
        <w:trPr>
          <w:trHeight w:val="370"/>
        </w:trPr>
        <w:tc>
          <w:tcPr>
            <w:tcW w:w="251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firstLine="0"/>
              <w:jc w:val="center"/>
            </w:pPr>
            <w:r>
              <w:t xml:space="preserve">Total respondents </w:t>
            </w:r>
          </w:p>
        </w:tc>
        <w:tc>
          <w:tcPr>
            <w:tcW w:w="163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1" w:right="0" w:firstLine="0"/>
              <w:jc w:val="center"/>
            </w:pPr>
            <w:r>
              <w:t xml:space="preserve">30 </w:t>
            </w:r>
          </w:p>
        </w:tc>
        <w:tc>
          <w:tcPr>
            <w:tcW w:w="163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79" w:right="0" w:firstLine="0"/>
              <w:jc w:val="center"/>
            </w:pPr>
            <w:r>
              <w:t xml:space="preserve">100% </w:t>
            </w:r>
          </w:p>
        </w:tc>
        <w:tc>
          <w:tcPr>
            <w:tcW w:w="163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1" w:right="0" w:firstLine="0"/>
              <w:jc w:val="center"/>
            </w:pPr>
            <w:r>
              <w:t xml:space="preserve">30 </w:t>
            </w:r>
          </w:p>
        </w:tc>
        <w:tc>
          <w:tcPr>
            <w:tcW w:w="163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267" w:right="0" w:firstLine="0"/>
              <w:jc w:val="center"/>
            </w:pPr>
            <w:r>
              <w:t xml:space="preserve">100% </w:t>
            </w:r>
          </w:p>
        </w:tc>
      </w:tr>
    </w:tbl>
    <w:p w:rsidR="00E44FD5" w:rsidRDefault="0038505C">
      <w:pPr>
        <w:ind w:left="-5" w:right="0"/>
      </w:pPr>
      <w:r>
        <w:t>The table 9.2 shows that in literate respondents, there are 50%, 20% and 30% families residing in nuclear, joint and extended families as against 46.67%, 23.33% and 30% in illiterate respondents. The average rate of nuclear families was found more than the</w:t>
      </w:r>
      <w:r>
        <w:t xml:space="preserve"> number of joint and extended families in the study area.  </w:t>
      </w:r>
      <w:r>
        <w:rPr>
          <w:b/>
        </w:rPr>
        <w:t xml:space="preserve"> </w:t>
      </w:r>
    </w:p>
    <w:p w:rsidR="00E44FD5" w:rsidRDefault="0038505C">
      <w:pPr>
        <w:pStyle w:val="Heading2"/>
        <w:ind w:left="-5"/>
      </w:pPr>
      <w:r>
        <w:t>9.3 Educational Qualification</w:t>
      </w:r>
      <w:r>
        <w:rPr>
          <w:b w:val="0"/>
        </w:rPr>
        <w:t xml:space="preserve"> </w:t>
      </w:r>
    </w:p>
    <w:p w:rsidR="00E44FD5" w:rsidRDefault="0038505C">
      <w:pPr>
        <w:ind w:left="-5" w:right="0"/>
      </w:pPr>
      <w:r>
        <w:t xml:space="preserve">The study has categorized the respondents as literate and illiterate. Literate refers to the S.S.C and up to </w:t>
      </w:r>
      <w:proofErr w:type="spellStart"/>
      <w:r>
        <w:t>Masters</w:t>
      </w:r>
      <w:proofErr w:type="spellEnd"/>
      <w:r>
        <w:t xml:space="preserve"> Degree and illiterate refers to the respondents</w:t>
      </w:r>
      <w:r>
        <w:t xml:space="preserve"> from class one to class nine.   </w:t>
      </w:r>
    </w:p>
    <w:p w:rsidR="00E44FD5" w:rsidRDefault="0038505C">
      <w:pPr>
        <w:ind w:left="-5" w:right="0"/>
      </w:pPr>
      <w:r>
        <w:t xml:space="preserve">The academic qualification of both types of the respondents has been given in the following table.   </w:t>
      </w:r>
    </w:p>
    <w:p w:rsidR="00E44FD5" w:rsidRDefault="0038505C">
      <w:pPr>
        <w:pStyle w:val="Heading1"/>
        <w:ind w:left="-5"/>
      </w:pPr>
      <w:r>
        <w:t>Table—9.3 Educational Levels of the Literate Respondents</w:t>
      </w:r>
      <w:r>
        <w:rPr>
          <w:b w:val="0"/>
        </w:rPr>
        <w:t xml:space="preserve"> </w:t>
      </w:r>
    </w:p>
    <w:tbl>
      <w:tblPr>
        <w:tblStyle w:val="TableGrid"/>
        <w:tblW w:w="8417" w:type="dxa"/>
        <w:tblInd w:w="0" w:type="dxa"/>
        <w:tblCellMar>
          <w:top w:w="49" w:type="dxa"/>
          <w:left w:w="115" w:type="dxa"/>
          <w:bottom w:w="0" w:type="dxa"/>
          <w:right w:w="113" w:type="dxa"/>
        </w:tblCellMar>
        <w:tblLook w:val="04A0" w:firstRow="1" w:lastRow="0" w:firstColumn="1" w:lastColumn="0" w:noHBand="0" w:noVBand="1"/>
      </w:tblPr>
      <w:tblGrid>
        <w:gridCol w:w="2808"/>
        <w:gridCol w:w="2808"/>
        <w:gridCol w:w="2801"/>
      </w:tblGrid>
      <w:tr w:rsidR="00E44FD5">
        <w:trPr>
          <w:trHeight w:val="240"/>
        </w:trPr>
        <w:tc>
          <w:tcPr>
            <w:tcW w:w="280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 w:firstLine="0"/>
              <w:jc w:val="center"/>
            </w:pPr>
            <w:r>
              <w:t xml:space="preserve">Level of education </w:t>
            </w:r>
          </w:p>
        </w:tc>
        <w:tc>
          <w:tcPr>
            <w:tcW w:w="280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1" w:firstLine="0"/>
              <w:jc w:val="center"/>
            </w:pPr>
            <w:r>
              <w:t xml:space="preserve">Number of literate respondents </w:t>
            </w:r>
          </w:p>
        </w:tc>
        <w:tc>
          <w:tcPr>
            <w:tcW w:w="2801"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7" w:firstLine="0"/>
              <w:jc w:val="center"/>
            </w:pPr>
            <w:r>
              <w:t xml:space="preserve">Percentage </w:t>
            </w:r>
          </w:p>
        </w:tc>
      </w:tr>
      <w:tr w:rsidR="00E44FD5">
        <w:trPr>
          <w:trHeight w:val="240"/>
        </w:trPr>
        <w:tc>
          <w:tcPr>
            <w:tcW w:w="280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 w:firstLine="0"/>
              <w:jc w:val="center"/>
            </w:pPr>
            <w:r>
              <w:t xml:space="preserve">SSC </w:t>
            </w:r>
          </w:p>
        </w:tc>
        <w:tc>
          <w:tcPr>
            <w:tcW w:w="280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 w:firstLine="0"/>
              <w:jc w:val="center"/>
            </w:pPr>
            <w:r>
              <w:t xml:space="preserve">6 </w:t>
            </w:r>
          </w:p>
        </w:tc>
        <w:tc>
          <w:tcPr>
            <w:tcW w:w="2801"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2" w:firstLine="0"/>
              <w:jc w:val="center"/>
            </w:pPr>
            <w:r>
              <w:t xml:space="preserve">20% </w:t>
            </w:r>
          </w:p>
        </w:tc>
      </w:tr>
      <w:tr w:rsidR="00E44FD5">
        <w:trPr>
          <w:trHeight w:val="240"/>
        </w:trPr>
        <w:tc>
          <w:tcPr>
            <w:tcW w:w="280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 w:firstLine="0"/>
              <w:jc w:val="center"/>
            </w:pPr>
            <w:r>
              <w:t xml:space="preserve">HSC </w:t>
            </w:r>
          </w:p>
        </w:tc>
        <w:tc>
          <w:tcPr>
            <w:tcW w:w="280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 w:firstLine="0"/>
              <w:jc w:val="center"/>
            </w:pPr>
            <w:r>
              <w:t xml:space="preserve">12 </w:t>
            </w:r>
          </w:p>
        </w:tc>
        <w:tc>
          <w:tcPr>
            <w:tcW w:w="2801"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2" w:firstLine="0"/>
              <w:jc w:val="center"/>
            </w:pPr>
            <w:r>
              <w:t xml:space="preserve">40% </w:t>
            </w:r>
          </w:p>
        </w:tc>
      </w:tr>
      <w:tr w:rsidR="00E44FD5">
        <w:trPr>
          <w:trHeight w:val="240"/>
        </w:trPr>
        <w:tc>
          <w:tcPr>
            <w:tcW w:w="280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 w:firstLine="0"/>
              <w:jc w:val="center"/>
            </w:pPr>
            <w:r>
              <w:t xml:space="preserve"> Degree </w:t>
            </w:r>
          </w:p>
        </w:tc>
        <w:tc>
          <w:tcPr>
            <w:tcW w:w="280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 w:firstLine="0"/>
              <w:jc w:val="center"/>
            </w:pPr>
            <w:r>
              <w:t xml:space="preserve">7 </w:t>
            </w:r>
          </w:p>
        </w:tc>
        <w:tc>
          <w:tcPr>
            <w:tcW w:w="2801"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1" w:right="0" w:firstLine="0"/>
              <w:jc w:val="center"/>
            </w:pPr>
            <w:r>
              <w:t xml:space="preserve">23.33% </w:t>
            </w:r>
          </w:p>
        </w:tc>
      </w:tr>
      <w:tr w:rsidR="00E44FD5">
        <w:trPr>
          <w:trHeight w:val="240"/>
        </w:trPr>
        <w:tc>
          <w:tcPr>
            <w:tcW w:w="280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7" w:firstLine="0"/>
              <w:jc w:val="center"/>
            </w:pPr>
            <w:r>
              <w:t xml:space="preserve">Master’s degree </w:t>
            </w:r>
          </w:p>
        </w:tc>
        <w:tc>
          <w:tcPr>
            <w:tcW w:w="280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 w:firstLine="0"/>
              <w:jc w:val="center"/>
            </w:pPr>
            <w:r>
              <w:t xml:space="preserve">5 </w:t>
            </w:r>
          </w:p>
        </w:tc>
        <w:tc>
          <w:tcPr>
            <w:tcW w:w="2801"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1" w:right="0" w:firstLine="0"/>
              <w:jc w:val="center"/>
            </w:pPr>
            <w:r>
              <w:t xml:space="preserve">16.67% </w:t>
            </w:r>
          </w:p>
        </w:tc>
      </w:tr>
      <w:tr w:rsidR="00E44FD5">
        <w:trPr>
          <w:trHeight w:val="240"/>
        </w:trPr>
        <w:tc>
          <w:tcPr>
            <w:tcW w:w="280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6" w:firstLine="0"/>
              <w:jc w:val="center"/>
            </w:pPr>
            <w:r>
              <w:t xml:space="preserve">Total respondents </w:t>
            </w:r>
          </w:p>
        </w:tc>
        <w:tc>
          <w:tcPr>
            <w:tcW w:w="280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 w:firstLine="0"/>
              <w:jc w:val="center"/>
            </w:pPr>
            <w:r>
              <w:t xml:space="preserve">30 </w:t>
            </w:r>
          </w:p>
        </w:tc>
        <w:tc>
          <w:tcPr>
            <w:tcW w:w="2801"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2" w:firstLine="0"/>
              <w:jc w:val="center"/>
            </w:pPr>
            <w:r>
              <w:t xml:space="preserve">100% </w:t>
            </w:r>
          </w:p>
        </w:tc>
      </w:tr>
    </w:tbl>
    <w:p w:rsidR="00E44FD5" w:rsidRDefault="0038505C">
      <w:pPr>
        <w:ind w:left="-5" w:right="0"/>
      </w:pPr>
      <w:r>
        <w:t>The table 9.3 shows that 20%, 40%, 23.33% and 16.67% respondents having SSC, HSC, Degree and Masters’ degree among the literate respondents.</w:t>
      </w:r>
      <w:r>
        <w:rPr>
          <w:b/>
        </w:rPr>
        <w:t xml:space="preserve"> </w:t>
      </w:r>
    </w:p>
    <w:p w:rsidR="00E44FD5" w:rsidRDefault="0038505C">
      <w:pPr>
        <w:spacing w:after="177" w:line="259" w:lineRule="auto"/>
        <w:ind w:left="-5" w:right="0"/>
        <w:jc w:val="left"/>
      </w:pPr>
      <w:r>
        <w:rPr>
          <w:b/>
          <w:i/>
        </w:rPr>
        <w:t>9.4 Social Acceptance of the Respondents</w:t>
      </w:r>
      <w:r>
        <w:rPr>
          <w:i/>
        </w:rPr>
        <w:t xml:space="preserve"> </w:t>
      </w:r>
    </w:p>
    <w:p w:rsidR="00E44FD5" w:rsidRDefault="0038505C">
      <w:pPr>
        <w:ind w:left="-5" w:right="0"/>
      </w:pPr>
      <w:r>
        <w:t>The social acceptance of respondents has been shown in the following tab</w:t>
      </w:r>
      <w:r>
        <w:t xml:space="preserve">le.  </w:t>
      </w:r>
    </w:p>
    <w:p w:rsidR="00E44FD5" w:rsidRDefault="0038505C">
      <w:pPr>
        <w:pStyle w:val="Heading1"/>
        <w:ind w:left="-5"/>
      </w:pPr>
      <w:r>
        <w:t xml:space="preserve">Table—9.4 Social Acceptances of the Respondents </w:t>
      </w:r>
    </w:p>
    <w:tbl>
      <w:tblPr>
        <w:tblStyle w:val="TableGrid"/>
        <w:tblW w:w="9014" w:type="dxa"/>
        <w:tblInd w:w="0" w:type="dxa"/>
        <w:tblCellMar>
          <w:top w:w="49" w:type="dxa"/>
          <w:left w:w="108" w:type="dxa"/>
          <w:bottom w:w="0" w:type="dxa"/>
          <w:right w:w="115" w:type="dxa"/>
        </w:tblCellMar>
        <w:tblLook w:val="04A0" w:firstRow="1" w:lastRow="0" w:firstColumn="1" w:lastColumn="0" w:noHBand="0" w:noVBand="1"/>
      </w:tblPr>
      <w:tblGrid>
        <w:gridCol w:w="3420"/>
        <w:gridCol w:w="1397"/>
        <w:gridCol w:w="1399"/>
        <w:gridCol w:w="1399"/>
        <w:gridCol w:w="1399"/>
      </w:tblGrid>
      <w:tr w:rsidR="00E44FD5">
        <w:trPr>
          <w:trHeight w:val="240"/>
        </w:trPr>
        <w:tc>
          <w:tcPr>
            <w:tcW w:w="342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firstLine="0"/>
              <w:jc w:val="center"/>
            </w:pPr>
            <w:r>
              <w:t>Parameters</w:t>
            </w:r>
            <w:r>
              <w:rPr>
                <w:b/>
              </w:rPr>
              <w:t xml:space="preserve"> </w:t>
            </w:r>
          </w:p>
        </w:tc>
        <w:tc>
          <w:tcPr>
            <w:tcW w:w="2796" w:type="dxa"/>
            <w:gridSpan w:val="2"/>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firstLine="0"/>
              <w:jc w:val="center"/>
            </w:pPr>
            <w:r>
              <w:t>No. of Literate Respondents</w:t>
            </w:r>
            <w:r>
              <w:rPr>
                <w:b/>
              </w:rPr>
              <w:t xml:space="preserve"> </w:t>
            </w:r>
          </w:p>
        </w:tc>
        <w:tc>
          <w:tcPr>
            <w:tcW w:w="2798" w:type="dxa"/>
            <w:gridSpan w:val="2"/>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2" w:firstLine="0"/>
              <w:jc w:val="center"/>
            </w:pPr>
            <w:r>
              <w:t>No. of Illiterate Respondent</w:t>
            </w:r>
            <w:r>
              <w:rPr>
                <w:b/>
              </w:rPr>
              <w:t xml:space="preserve"> </w:t>
            </w:r>
          </w:p>
        </w:tc>
      </w:tr>
      <w:tr w:rsidR="00E44FD5">
        <w:trPr>
          <w:trHeight w:val="252"/>
        </w:trPr>
        <w:tc>
          <w:tcPr>
            <w:tcW w:w="342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0" w:firstLine="0"/>
              <w:jc w:val="left"/>
            </w:pPr>
            <w:r>
              <w:t>Invitation in the marriage ceremony</w:t>
            </w:r>
            <w:r>
              <w:rPr>
                <w:b/>
              </w:rPr>
              <w:t xml:space="preserve"> </w:t>
            </w:r>
          </w:p>
        </w:tc>
        <w:tc>
          <w:tcPr>
            <w:tcW w:w="139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6" w:right="0" w:firstLine="0"/>
              <w:jc w:val="center"/>
            </w:pPr>
            <w:r>
              <w:t xml:space="preserve">9 </w:t>
            </w:r>
          </w:p>
        </w:tc>
        <w:tc>
          <w:tcPr>
            <w:tcW w:w="139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281" w:right="0" w:firstLine="0"/>
              <w:jc w:val="center"/>
            </w:pPr>
            <w:r>
              <w:t xml:space="preserve">30% </w:t>
            </w:r>
          </w:p>
        </w:tc>
        <w:tc>
          <w:tcPr>
            <w:tcW w:w="139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4" w:right="0" w:firstLine="0"/>
              <w:jc w:val="center"/>
            </w:pPr>
            <w:r>
              <w:t xml:space="preserve">8 </w:t>
            </w:r>
          </w:p>
        </w:tc>
        <w:tc>
          <w:tcPr>
            <w:tcW w:w="139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379" w:right="0" w:firstLine="0"/>
              <w:jc w:val="left"/>
            </w:pPr>
            <w:r>
              <w:t xml:space="preserve">26.67% </w:t>
            </w:r>
          </w:p>
        </w:tc>
      </w:tr>
      <w:tr w:rsidR="00E44FD5">
        <w:trPr>
          <w:trHeight w:val="288"/>
        </w:trPr>
        <w:tc>
          <w:tcPr>
            <w:tcW w:w="342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0" w:firstLine="0"/>
              <w:jc w:val="left"/>
            </w:pPr>
            <w:r>
              <w:t xml:space="preserve">Membership in the social institutions </w:t>
            </w:r>
          </w:p>
        </w:tc>
        <w:tc>
          <w:tcPr>
            <w:tcW w:w="139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6" w:right="0" w:firstLine="0"/>
              <w:jc w:val="center"/>
            </w:pPr>
            <w:r>
              <w:t xml:space="preserve">5 </w:t>
            </w:r>
          </w:p>
        </w:tc>
        <w:tc>
          <w:tcPr>
            <w:tcW w:w="139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87" w:right="0" w:firstLine="0"/>
              <w:jc w:val="center"/>
            </w:pPr>
            <w:r>
              <w:t xml:space="preserve">16.67% </w:t>
            </w:r>
          </w:p>
        </w:tc>
        <w:tc>
          <w:tcPr>
            <w:tcW w:w="139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8" w:right="0" w:firstLine="0"/>
              <w:jc w:val="center"/>
            </w:pPr>
            <w:r>
              <w:t xml:space="preserve">07 </w:t>
            </w:r>
          </w:p>
        </w:tc>
        <w:tc>
          <w:tcPr>
            <w:tcW w:w="139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53" w:right="0" w:firstLine="0"/>
              <w:jc w:val="center"/>
            </w:pPr>
            <w:r>
              <w:t xml:space="preserve">3.33% </w:t>
            </w:r>
          </w:p>
        </w:tc>
      </w:tr>
      <w:tr w:rsidR="00E44FD5">
        <w:trPr>
          <w:trHeight w:val="288"/>
        </w:trPr>
        <w:tc>
          <w:tcPr>
            <w:tcW w:w="342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0" w:firstLine="0"/>
              <w:jc w:val="left"/>
            </w:pPr>
            <w:r>
              <w:t xml:space="preserve">Participation in social leadership </w:t>
            </w:r>
          </w:p>
        </w:tc>
        <w:tc>
          <w:tcPr>
            <w:tcW w:w="139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6" w:right="0" w:firstLine="0"/>
              <w:jc w:val="center"/>
            </w:pPr>
            <w:r>
              <w:t xml:space="preserve">6 </w:t>
            </w:r>
          </w:p>
        </w:tc>
        <w:tc>
          <w:tcPr>
            <w:tcW w:w="139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180" w:right="0" w:firstLine="0"/>
              <w:jc w:val="center"/>
            </w:pPr>
            <w:r>
              <w:t xml:space="preserve">20% </w:t>
            </w:r>
          </w:p>
        </w:tc>
        <w:tc>
          <w:tcPr>
            <w:tcW w:w="139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4" w:right="0" w:firstLine="0"/>
              <w:jc w:val="center"/>
            </w:pPr>
            <w:r>
              <w:t xml:space="preserve">5 </w:t>
            </w:r>
          </w:p>
        </w:tc>
        <w:tc>
          <w:tcPr>
            <w:tcW w:w="139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right="0" w:firstLine="0"/>
              <w:jc w:val="center"/>
            </w:pPr>
            <w:r>
              <w:t xml:space="preserve">16.67% </w:t>
            </w:r>
          </w:p>
        </w:tc>
      </w:tr>
      <w:tr w:rsidR="00E44FD5">
        <w:trPr>
          <w:trHeight w:val="240"/>
        </w:trPr>
        <w:tc>
          <w:tcPr>
            <w:tcW w:w="342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0" w:firstLine="0"/>
              <w:jc w:val="left"/>
            </w:pPr>
            <w:r>
              <w:t xml:space="preserve">Participation in the cultural functions </w:t>
            </w:r>
          </w:p>
        </w:tc>
        <w:tc>
          <w:tcPr>
            <w:tcW w:w="139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11" w:right="0" w:firstLine="0"/>
              <w:jc w:val="center"/>
            </w:pPr>
            <w:r>
              <w:t xml:space="preserve">10 </w:t>
            </w:r>
          </w:p>
        </w:tc>
        <w:tc>
          <w:tcPr>
            <w:tcW w:w="139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154" w:right="0" w:firstLine="0"/>
              <w:jc w:val="center"/>
            </w:pPr>
            <w:r>
              <w:t xml:space="preserve">3.33% </w:t>
            </w:r>
          </w:p>
        </w:tc>
        <w:tc>
          <w:tcPr>
            <w:tcW w:w="139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8" w:right="0" w:firstLine="0"/>
              <w:jc w:val="center"/>
            </w:pPr>
            <w:r>
              <w:t xml:space="preserve">10 </w:t>
            </w:r>
          </w:p>
        </w:tc>
        <w:tc>
          <w:tcPr>
            <w:tcW w:w="139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379" w:right="0" w:firstLine="0"/>
              <w:jc w:val="left"/>
            </w:pPr>
            <w:r>
              <w:t xml:space="preserve">33.33% </w:t>
            </w:r>
          </w:p>
        </w:tc>
      </w:tr>
      <w:tr w:rsidR="00E44FD5">
        <w:trPr>
          <w:trHeight w:val="271"/>
        </w:trPr>
        <w:tc>
          <w:tcPr>
            <w:tcW w:w="342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0" w:firstLine="0"/>
              <w:jc w:val="left"/>
            </w:pPr>
            <w:r>
              <w:t>Total respondent</w:t>
            </w:r>
            <w:r>
              <w:rPr>
                <w:b/>
              </w:rPr>
              <w:t xml:space="preserve"> </w:t>
            </w:r>
          </w:p>
        </w:tc>
        <w:tc>
          <w:tcPr>
            <w:tcW w:w="139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11" w:right="0" w:firstLine="0"/>
              <w:jc w:val="center"/>
            </w:pPr>
            <w:r>
              <w:t xml:space="preserve">30 </w:t>
            </w:r>
          </w:p>
        </w:tc>
        <w:tc>
          <w:tcPr>
            <w:tcW w:w="139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171" w:right="0" w:firstLine="0"/>
              <w:jc w:val="center"/>
            </w:pPr>
            <w:r>
              <w:t xml:space="preserve">100% </w:t>
            </w:r>
          </w:p>
        </w:tc>
        <w:tc>
          <w:tcPr>
            <w:tcW w:w="139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8" w:right="0" w:firstLine="0"/>
              <w:jc w:val="center"/>
            </w:pPr>
            <w:r>
              <w:t xml:space="preserve">30 </w:t>
            </w:r>
          </w:p>
        </w:tc>
        <w:tc>
          <w:tcPr>
            <w:tcW w:w="139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252" w:right="0" w:firstLine="0"/>
              <w:jc w:val="center"/>
            </w:pPr>
            <w:r>
              <w:t xml:space="preserve">100% </w:t>
            </w:r>
          </w:p>
        </w:tc>
      </w:tr>
    </w:tbl>
    <w:p w:rsidR="00E44FD5" w:rsidRDefault="0038505C">
      <w:pPr>
        <w:ind w:left="-5" w:right="0"/>
      </w:pPr>
      <w:r>
        <w:t>The table 9.4 shows that the percentages of social acceptance of literate respondents are 9%, 16.67%, 20% and 33.33% in respect of invitation in the marriage festivals, membership of the social institutions, social leadership and participation in the cultu</w:t>
      </w:r>
      <w:r>
        <w:t xml:space="preserve">ral functions as against 26.67%, 23.33%, 16.67% and 33.33% among the illiterate respondents. Overall social acceptance of literate respondents was found significant compared to the illiterate respondents in the study area.  </w:t>
      </w:r>
    </w:p>
    <w:p w:rsidR="00E44FD5" w:rsidRDefault="0038505C">
      <w:pPr>
        <w:pStyle w:val="Heading2"/>
        <w:ind w:left="-5"/>
      </w:pPr>
      <w:r>
        <w:t>9.5 Economic Status of the Resp</w:t>
      </w:r>
      <w:r>
        <w:t xml:space="preserve">ondents </w:t>
      </w:r>
    </w:p>
    <w:p w:rsidR="00E44FD5" w:rsidRDefault="0038505C">
      <w:pPr>
        <w:ind w:left="-5" w:right="0"/>
      </w:pPr>
      <w:r>
        <w:t>Economic development is the pre-requisite of all sorts of development. In calculating the economic</w:t>
      </w:r>
      <w:r>
        <w:rPr>
          <w:b/>
        </w:rPr>
        <w:t xml:space="preserve"> </w:t>
      </w:r>
      <w:r>
        <w:t xml:space="preserve">status of respondents, some parameters have been taken into consideration. The possession of land, farm, pond, garden etc. by respondents has been </w:t>
      </w:r>
      <w:proofErr w:type="gramStart"/>
      <w:r>
        <w:t>t</w:t>
      </w:r>
      <w:r>
        <w:t>aken into account</w:t>
      </w:r>
      <w:proofErr w:type="gramEnd"/>
      <w:r>
        <w:t xml:space="preserve">. </w:t>
      </w:r>
    </w:p>
    <w:p w:rsidR="00E44FD5" w:rsidRDefault="0038505C">
      <w:pPr>
        <w:spacing w:after="177" w:line="259" w:lineRule="auto"/>
        <w:ind w:left="-5" w:right="0"/>
        <w:jc w:val="left"/>
      </w:pPr>
      <w:r>
        <w:rPr>
          <w:b/>
          <w:i/>
        </w:rPr>
        <w:t xml:space="preserve">9.6 Land Property   </w:t>
      </w:r>
    </w:p>
    <w:p w:rsidR="00E44FD5" w:rsidRDefault="0038505C">
      <w:pPr>
        <w:ind w:left="-5" w:right="0"/>
      </w:pPr>
      <w:r>
        <w:t xml:space="preserve">Land property of the respondents is given in the following table. </w:t>
      </w:r>
    </w:p>
    <w:p w:rsidR="00E44FD5" w:rsidRDefault="0038505C">
      <w:pPr>
        <w:pStyle w:val="Heading1"/>
        <w:ind w:left="-5"/>
      </w:pPr>
      <w:r>
        <w:t xml:space="preserve">Table—9.6 Land Properties of the Respondents </w:t>
      </w:r>
    </w:p>
    <w:tbl>
      <w:tblPr>
        <w:tblStyle w:val="TableGrid"/>
        <w:tblW w:w="9062" w:type="dxa"/>
        <w:tblInd w:w="0" w:type="dxa"/>
        <w:tblCellMar>
          <w:top w:w="49" w:type="dxa"/>
          <w:left w:w="115" w:type="dxa"/>
          <w:bottom w:w="0" w:type="dxa"/>
          <w:right w:w="115" w:type="dxa"/>
        </w:tblCellMar>
        <w:tblLook w:val="04A0" w:firstRow="1" w:lastRow="0" w:firstColumn="1" w:lastColumn="0" w:noHBand="0" w:noVBand="1"/>
      </w:tblPr>
      <w:tblGrid>
        <w:gridCol w:w="2530"/>
        <w:gridCol w:w="1632"/>
        <w:gridCol w:w="1634"/>
        <w:gridCol w:w="1632"/>
        <w:gridCol w:w="1634"/>
      </w:tblGrid>
      <w:tr w:rsidR="00E44FD5">
        <w:trPr>
          <w:trHeight w:val="307"/>
        </w:trPr>
        <w:tc>
          <w:tcPr>
            <w:tcW w:w="253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6" w:firstLine="0"/>
              <w:jc w:val="center"/>
            </w:pPr>
            <w:r>
              <w:t xml:space="preserve">Amounts of land (Acres) </w:t>
            </w:r>
          </w:p>
        </w:tc>
        <w:tc>
          <w:tcPr>
            <w:tcW w:w="3266" w:type="dxa"/>
            <w:gridSpan w:val="2"/>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firstLine="0"/>
              <w:jc w:val="center"/>
            </w:pPr>
            <w:r>
              <w:t xml:space="preserve">No. of Literate respondents </w:t>
            </w:r>
          </w:p>
        </w:tc>
        <w:tc>
          <w:tcPr>
            <w:tcW w:w="3266" w:type="dxa"/>
            <w:gridSpan w:val="2"/>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2" w:firstLine="0"/>
              <w:jc w:val="center"/>
            </w:pPr>
            <w:r>
              <w:t xml:space="preserve">No. of Illiterate respondents </w:t>
            </w:r>
          </w:p>
        </w:tc>
      </w:tr>
      <w:tr w:rsidR="00E44FD5">
        <w:trPr>
          <w:trHeight w:val="240"/>
        </w:trPr>
        <w:tc>
          <w:tcPr>
            <w:tcW w:w="253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1" w:right="0" w:firstLine="0"/>
              <w:jc w:val="center"/>
            </w:pPr>
            <w:r>
              <w:t xml:space="preserve">01—02 </w:t>
            </w:r>
          </w:p>
        </w:tc>
        <w:tc>
          <w:tcPr>
            <w:tcW w:w="1632"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1" w:firstLine="0"/>
              <w:jc w:val="center"/>
            </w:pPr>
            <w:r>
              <w:t xml:space="preserve">17 </w:t>
            </w:r>
          </w:p>
        </w:tc>
        <w:tc>
          <w:tcPr>
            <w:tcW w:w="1634"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60" w:right="0" w:firstLine="0"/>
              <w:jc w:val="center"/>
            </w:pPr>
            <w:r>
              <w:t xml:space="preserve">56.67% </w:t>
            </w:r>
          </w:p>
        </w:tc>
        <w:tc>
          <w:tcPr>
            <w:tcW w:w="1632"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1" w:firstLine="0"/>
              <w:jc w:val="center"/>
            </w:pPr>
            <w:r>
              <w:t xml:space="preserve">18 </w:t>
            </w:r>
          </w:p>
        </w:tc>
        <w:tc>
          <w:tcPr>
            <w:tcW w:w="1634"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274" w:right="0" w:firstLine="0"/>
              <w:jc w:val="center"/>
            </w:pPr>
            <w:r>
              <w:t xml:space="preserve">60% </w:t>
            </w:r>
          </w:p>
        </w:tc>
      </w:tr>
      <w:tr w:rsidR="00E44FD5">
        <w:trPr>
          <w:trHeight w:val="240"/>
        </w:trPr>
        <w:tc>
          <w:tcPr>
            <w:tcW w:w="253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1" w:right="0" w:firstLine="0"/>
              <w:jc w:val="center"/>
            </w:pPr>
            <w:r>
              <w:t xml:space="preserve">03—04 </w:t>
            </w:r>
          </w:p>
        </w:tc>
        <w:tc>
          <w:tcPr>
            <w:tcW w:w="1632"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1" w:firstLine="0"/>
              <w:jc w:val="center"/>
            </w:pPr>
            <w:r>
              <w:t xml:space="preserve">8 </w:t>
            </w:r>
          </w:p>
        </w:tc>
        <w:tc>
          <w:tcPr>
            <w:tcW w:w="1634"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147" w:right="0" w:firstLine="0"/>
              <w:jc w:val="center"/>
            </w:pPr>
            <w:r>
              <w:t xml:space="preserve">26.67% </w:t>
            </w:r>
          </w:p>
        </w:tc>
        <w:tc>
          <w:tcPr>
            <w:tcW w:w="1632"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1" w:firstLine="0"/>
              <w:jc w:val="center"/>
            </w:pPr>
            <w:r>
              <w:t xml:space="preserve">8 </w:t>
            </w:r>
          </w:p>
        </w:tc>
        <w:tc>
          <w:tcPr>
            <w:tcW w:w="1634"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228" w:right="0" w:firstLine="0"/>
              <w:jc w:val="center"/>
            </w:pPr>
            <w:r>
              <w:t xml:space="preserve">26.67% </w:t>
            </w:r>
          </w:p>
        </w:tc>
      </w:tr>
      <w:tr w:rsidR="00E44FD5">
        <w:trPr>
          <w:trHeight w:val="240"/>
        </w:trPr>
        <w:tc>
          <w:tcPr>
            <w:tcW w:w="253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1" w:right="0" w:firstLine="0"/>
              <w:jc w:val="center"/>
            </w:pPr>
            <w:r>
              <w:t xml:space="preserve">05—06 </w:t>
            </w:r>
          </w:p>
        </w:tc>
        <w:tc>
          <w:tcPr>
            <w:tcW w:w="1632"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1" w:firstLine="0"/>
              <w:jc w:val="center"/>
            </w:pPr>
            <w:r>
              <w:t xml:space="preserve">4 </w:t>
            </w:r>
          </w:p>
        </w:tc>
        <w:tc>
          <w:tcPr>
            <w:tcW w:w="1634"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12" w:right="0" w:firstLine="0"/>
              <w:jc w:val="center"/>
            </w:pPr>
            <w:r>
              <w:t xml:space="preserve">13.33% </w:t>
            </w:r>
          </w:p>
        </w:tc>
        <w:tc>
          <w:tcPr>
            <w:tcW w:w="1632"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1" w:firstLine="0"/>
              <w:jc w:val="center"/>
            </w:pPr>
            <w:r>
              <w:t xml:space="preserve">03 </w:t>
            </w:r>
          </w:p>
        </w:tc>
        <w:tc>
          <w:tcPr>
            <w:tcW w:w="1634"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274" w:right="0" w:firstLine="0"/>
              <w:jc w:val="center"/>
            </w:pPr>
            <w:r>
              <w:t xml:space="preserve">10% </w:t>
            </w:r>
          </w:p>
        </w:tc>
      </w:tr>
      <w:tr w:rsidR="00E44FD5">
        <w:trPr>
          <w:trHeight w:val="269"/>
        </w:trPr>
        <w:tc>
          <w:tcPr>
            <w:tcW w:w="253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 w:firstLine="0"/>
              <w:jc w:val="center"/>
            </w:pPr>
            <w:r>
              <w:t xml:space="preserve">06—Above </w:t>
            </w:r>
          </w:p>
        </w:tc>
        <w:tc>
          <w:tcPr>
            <w:tcW w:w="1632"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1" w:firstLine="0"/>
              <w:jc w:val="center"/>
            </w:pPr>
            <w:r>
              <w:t xml:space="preserve">1 </w:t>
            </w:r>
          </w:p>
        </w:tc>
        <w:tc>
          <w:tcPr>
            <w:tcW w:w="1634"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12" w:right="0" w:firstLine="0"/>
              <w:jc w:val="center"/>
            </w:pPr>
            <w:r>
              <w:t xml:space="preserve">03.34% </w:t>
            </w:r>
          </w:p>
        </w:tc>
        <w:tc>
          <w:tcPr>
            <w:tcW w:w="1632"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1" w:firstLine="0"/>
              <w:jc w:val="center"/>
            </w:pPr>
            <w:r>
              <w:t xml:space="preserve">1 </w:t>
            </w:r>
          </w:p>
        </w:tc>
        <w:tc>
          <w:tcPr>
            <w:tcW w:w="1634"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228" w:right="0" w:firstLine="0"/>
              <w:jc w:val="center"/>
            </w:pPr>
            <w:r>
              <w:t xml:space="preserve">03.34% </w:t>
            </w:r>
          </w:p>
        </w:tc>
      </w:tr>
      <w:tr w:rsidR="00E44FD5">
        <w:trPr>
          <w:trHeight w:val="240"/>
        </w:trPr>
        <w:tc>
          <w:tcPr>
            <w:tcW w:w="253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firstLine="0"/>
              <w:jc w:val="center"/>
            </w:pPr>
            <w:r>
              <w:t xml:space="preserve">Total respondents </w:t>
            </w:r>
          </w:p>
        </w:tc>
        <w:tc>
          <w:tcPr>
            <w:tcW w:w="1632"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1" w:firstLine="0"/>
              <w:jc w:val="center"/>
            </w:pPr>
            <w:r>
              <w:t xml:space="preserve">30 </w:t>
            </w:r>
          </w:p>
        </w:tc>
        <w:tc>
          <w:tcPr>
            <w:tcW w:w="1634"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144" w:right="0" w:firstLine="0"/>
              <w:jc w:val="center"/>
            </w:pPr>
            <w:r>
              <w:t xml:space="preserve">100% </w:t>
            </w:r>
          </w:p>
        </w:tc>
        <w:tc>
          <w:tcPr>
            <w:tcW w:w="1632"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1" w:firstLine="0"/>
              <w:jc w:val="center"/>
            </w:pPr>
            <w:r>
              <w:t xml:space="preserve">30 </w:t>
            </w:r>
          </w:p>
        </w:tc>
        <w:tc>
          <w:tcPr>
            <w:tcW w:w="1634"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279" w:right="0" w:firstLine="0"/>
              <w:jc w:val="center"/>
            </w:pPr>
            <w:r>
              <w:t xml:space="preserve">100% </w:t>
            </w:r>
          </w:p>
        </w:tc>
      </w:tr>
    </w:tbl>
    <w:p w:rsidR="00E44FD5" w:rsidRDefault="0038505C">
      <w:pPr>
        <w:ind w:left="-5" w:right="0"/>
      </w:pPr>
      <w:r>
        <w:t xml:space="preserve">The table 9.6 shows that each and every </w:t>
      </w:r>
      <w:proofErr w:type="gramStart"/>
      <w:r>
        <w:t>respondents</w:t>
      </w:r>
      <w:proofErr w:type="gramEnd"/>
      <w:r>
        <w:t xml:space="preserve"> of both the literate and illiterate having at least one acre of landed property. The maximum number of respondents holding land between 01—02 acres while a few </w:t>
      </w:r>
      <w:proofErr w:type="gramStart"/>
      <w:r>
        <w:t>are  holding</w:t>
      </w:r>
      <w:proofErr w:type="gramEnd"/>
      <w:r>
        <w:t xml:space="preserve"> 06 acres and above. </w:t>
      </w:r>
    </w:p>
    <w:p w:rsidR="00E44FD5" w:rsidRDefault="0038505C">
      <w:pPr>
        <w:spacing w:after="177" w:line="259" w:lineRule="auto"/>
        <w:ind w:left="-5" w:right="0"/>
        <w:jc w:val="left"/>
      </w:pPr>
      <w:r>
        <w:rPr>
          <w:b/>
          <w:i/>
        </w:rPr>
        <w:t xml:space="preserve">9.7 Income-Earning Levels </w:t>
      </w:r>
      <w:r>
        <w:rPr>
          <w:i/>
        </w:rPr>
        <w:t xml:space="preserve"> </w:t>
      </w:r>
    </w:p>
    <w:p w:rsidR="00E44FD5" w:rsidRDefault="0038505C">
      <w:pPr>
        <w:ind w:left="-5" w:right="0"/>
      </w:pPr>
      <w:r>
        <w:t xml:space="preserve">The following table shows the income-earning status of respondents </w:t>
      </w:r>
    </w:p>
    <w:p w:rsidR="00E44FD5" w:rsidRDefault="0038505C">
      <w:pPr>
        <w:pStyle w:val="Heading1"/>
        <w:ind w:left="-5"/>
      </w:pPr>
      <w:r>
        <w:t xml:space="preserve">Table—9.7 Income-Earnings of Respondents  </w:t>
      </w:r>
    </w:p>
    <w:tbl>
      <w:tblPr>
        <w:tblStyle w:val="TableGrid"/>
        <w:tblW w:w="9062" w:type="dxa"/>
        <w:tblInd w:w="0" w:type="dxa"/>
        <w:tblCellMar>
          <w:top w:w="49" w:type="dxa"/>
          <w:left w:w="115" w:type="dxa"/>
          <w:bottom w:w="0" w:type="dxa"/>
          <w:right w:w="85" w:type="dxa"/>
        </w:tblCellMar>
        <w:tblLook w:val="04A0" w:firstRow="1" w:lastRow="0" w:firstColumn="1" w:lastColumn="0" w:noHBand="0" w:noVBand="1"/>
      </w:tblPr>
      <w:tblGrid>
        <w:gridCol w:w="2565"/>
        <w:gridCol w:w="3348"/>
        <w:gridCol w:w="3149"/>
      </w:tblGrid>
      <w:tr w:rsidR="00E44FD5">
        <w:trPr>
          <w:trHeight w:val="701"/>
        </w:trPr>
        <w:tc>
          <w:tcPr>
            <w:tcW w:w="2566"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2" w:firstLine="0"/>
              <w:jc w:val="center"/>
            </w:pPr>
            <w:r>
              <w:t>Income sources</w:t>
            </w:r>
            <w:r>
              <w:rPr>
                <w:b/>
              </w:rPr>
              <w:t xml:space="preserve"> </w:t>
            </w:r>
          </w:p>
        </w:tc>
        <w:tc>
          <w:tcPr>
            <w:tcW w:w="334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5" w:firstLine="0"/>
              <w:jc w:val="center"/>
            </w:pPr>
            <w:r>
              <w:t xml:space="preserve">Literate respondents </w:t>
            </w:r>
          </w:p>
          <w:p w:rsidR="00E44FD5" w:rsidRDefault="0038505C">
            <w:pPr>
              <w:spacing w:after="0" w:line="259" w:lineRule="auto"/>
              <w:ind w:left="0" w:right="0" w:firstLine="0"/>
              <w:jc w:val="center"/>
            </w:pPr>
            <w:r>
              <w:t xml:space="preserve">Monthly average income (Including </w:t>
            </w:r>
            <w:proofErr w:type="gramStart"/>
            <w:r>
              <w:t>other</w:t>
            </w:r>
            <w:proofErr w:type="gramEnd"/>
            <w:r>
              <w:t xml:space="preserve"> member) (Tk.)</w:t>
            </w:r>
            <w:r>
              <w:rPr>
                <w:b/>
              </w:rPr>
              <w:t xml:space="preserve"> </w:t>
            </w:r>
          </w:p>
        </w:tc>
        <w:tc>
          <w:tcPr>
            <w:tcW w:w="314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5" w:firstLine="0"/>
              <w:jc w:val="center"/>
            </w:pPr>
            <w:r>
              <w:t xml:space="preserve">Illiterate respondents </w:t>
            </w:r>
          </w:p>
          <w:p w:rsidR="00E44FD5" w:rsidRDefault="0038505C">
            <w:pPr>
              <w:spacing w:after="0" w:line="259" w:lineRule="auto"/>
              <w:ind w:left="0" w:right="0" w:firstLine="0"/>
              <w:jc w:val="center"/>
            </w:pPr>
            <w:r>
              <w:t xml:space="preserve">Monthly average income (Including </w:t>
            </w:r>
            <w:proofErr w:type="gramStart"/>
            <w:r>
              <w:t>other</w:t>
            </w:r>
            <w:proofErr w:type="gramEnd"/>
            <w:r>
              <w:t xml:space="preserve"> member) (Tk.) </w:t>
            </w:r>
          </w:p>
        </w:tc>
      </w:tr>
      <w:tr w:rsidR="00E44FD5">
        <w:trPr>
          <w:trHeight w:val="262"/>
        </w:trPr>
        <w:tc>
          <w:tcPr>
            <w:tcW w:w="2566"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4" w:firstLine="0"/>
              <w:jc w:val="center"/>
            </w:pPr>
            <w:r>
              <w:t xml:space="preserve">Landed </w:t>
            </w:r>
          </w:p>
        </w:tc>
        <w:tc>
          <w:tcPr>
            <w:tcW w:w="334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2" w:firstLine="0"/>
              <w:jc w:val="center"/>
            </w:pPr>
            <w:r>
              <w:t>5,500</w:t>
            </w:r>
            <w:r>
              <w:rPr>
                <w:b/>
              </w:rPr>
              <w:t xml:space="preserve"> </w:t>
            </w:r>
          </w:p>
        </w:tc>
        <w:tc>
          <w:tcPr>
            <w:tcW w:w="314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29" w:firstLine="0"/>
              <w:jc w:val="center"/>
            </w:pPr>
            <w:r>
              <w:t>3,000</w:t>
            </w:r>
            <w:r>
              <w:rPr>
                <w:b/>
              </w:rPr>
              <w:t xml:space="preserve"> </w:t>
            </w:r>
          </w:p>
        </w:tc>
      </w:tr>
      <w:tr w:rsidR="00E44FD5">
        <w:trPr>
          <w:trHeight w:val="295"/>
        </w:trPr>
        <w:tc>
          <w:tcPr>
            <w:tcW w:w="2566"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5" w:firstLine="0"/>
              <w:jc w:val="center"/>
            </w:pPr>
            <w:r>
              <w:t>Business</w:t>
            </w:r>
            <w:r>
              <w:rPr>
                <w:b/>
              </w:rPr>
              <w:t xml:space="preserve"> </w:t>
            </w:r>
          </w:p>
        </w:tc>
        <w:tc>
          <w:tcPr>
            <w:tcW w:w="334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2" w:firstLine="0"/>
              <w:jc w:val="center"/>
            </w:pPr>
            <w:r>
              <w:t>1,500</w:t>
            </w:r>
            <w:r>
              <w:rPr>
                <w:b/>
              </w:rPr>
              <w:t xml:space="preserve"> </w:t>
            </w:r>
          </w:p>
        </w:tc>
        <w:tc>
          <w:tcPr>
            <w:tcW w:w="314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2" w:firstLine="0"/>
              <w:jc w:val="center"/>
            </w:pPr>
            <w:r>
              <w:t>4000</w:t>
            </w:r>
            <w:r>
              <w:rPr>
                <w:b/>
              </w:rPr>
              <w:t xml:space="preserve"> </w:t>
            </w:r>
          </w:p>
        </w:tc>
      </w:tr>
      <w:tr w:rsidR="00E44FD5">
        <w:trPr>
          <w:trHeight w:val="288"/>
        </w:trPr>
        <w:tc>
          <w:tcPr>
            <w:tcW w:w="2566"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6" w:firstLine="0"/>
              <w:jc w:val="center"/>
            </w:pPr>
            <w:r>
              <w:t xml:space="preserve">Service </w:t>
            </w:r>
          </w:p>
        </w:tc>
        <w:tc>
          <w:tcPr>
            <w:tcW w:w="334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2" w:firstLine="0"/>
              <w:jc w:val="center"/>
            </w:pPr>
            <w:r>
              <w:t xml:space="preserve">7,500 </w:t>
            </w:r>
          </w:p>
        </w:tc>
        <w:tc>
          <w:tcPr>
            <w:tcW w:w="314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3" w:firstLine="0"/>
              <w:jc w:val="center"/>
            </w:pPr>
            <w:r>
              <w:t xml:space="preserve">No income </w:t>
            </w:r>
          </w:p>
        </w:tc>
      </w:tr>
      <w:tr w:rsidR="00E44FD5">
        <w:trPr>
          <w:trHeight w:val="254"/>
        </w:trPr>
        <w:tc>
          <w:tcPr>
            <w:tcW w:w="2566"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0" w:firstLine="0"/>
              <w:jc w:val="center"/>
            </w:pPr>
            <w:r>
              <w:t xml:space="preserve">Total </w:t>
            </w:r>
          </w:p>
        </w:tc>
        <w:tc>
          <w:tcPr>
            <w:tcW w:w="334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29" w:firstLine="0"/>
              <w:jc w:val="center"/>
            </w:pPr>
            <w:r>
              <w:t xml:space="preserve">14,500 </w:t>
            </w:r>
          </w:p>
        </w:tc>
        <w:tc>
          <w:tcPr>
            <w:tcW w:w="314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29" w:firstLine="0"/>
              <w:jc w:val="center"/>
            </w:pPr>
            <w:r>
              <w:t xml:space="preserve">7,000 </w:t>
            </w:r>
          </w:p>
        </w:tc>
      </w:tr>
    </w:tbl>
    <w:p w:rsidR="00E44FD5" w:rsidRDefault="0038505C">
      <w:pPr>
        <w:ind w:left="-5" w:right="0"/>
      </w:pPr>
      <w:r>
        <w:t>The table 9.7 shows that literate respondents draw a monthly average   Tk. 14,500 while illiterate respondents draw Tk. 7,000 per month. The table also shows that average monthly income from business of a literate respondent is Tk. 1,500 as against Tk. 4,0</w:t>
      </w:r>
      <w:r>
        <w:t xml:space="preserve">00 of an illiterate respondent. Business includes grocery and stationary shops. No illiterate respondent has found in the study area having income from service.  </w:t>
      </w:r>
    </w:p>
    <w:p w:rsidR="00E44FD5" w:rsidRDefault="0038505C">
      <w:pPr>
        <w:pStyle w:val="Heading2"/>
        <w:ind w:left="-5"/>
      </w:pPr>
      <w:r>
        <w:t xml:space="preserve">9.8 The Expenditure Status  </w:t>
      </w:r>
      <w:r>
        <w:rPr>
          <w:b w:val="0"/>
        </w:rPr>
        <w:t xml:space="preserve"> </w:t>
      </w:r>
    </w:p>
    <w:p w:rsidR="00E44FD5" w:rsidRDefault="0038505C">
      <w:pPr>
        <w:ind w:left="-5" w:right="0"/>
      </w:pPr>
      <w:r>
        <w:t>The table shows the average monthly expenditure of the responde</w:t>
      </w:r>
      <w:r>
        <w:t xml:space="preserve">nts in the study area. Ideally a five members’ family have the following average monthly expenditure. </w:t>
      </w:r>
    </w:p>
    <w:p w:rsidR="00E44FD5" w:rsidRDefault="0038505C">
      <w:pPr>
        <w:pStyle w:val="Heading1"/>
        <w:ind w:left="-5"/>
      </w:pPr>
      <w:r>
        <w:t>Table—9.8 Family Expenditure of the Respondents</w:t>
      </w:r>
      <w:r>
        <w:rPr>
          <w:b w:val="0"/>
        </w:rPr>
        <w:t xml:space="preserve"> </w:t>
      </w:r>
    </w:p>
    <w:tbl>
      <w:tblPr>
        <w:tblStyle w:val="TableGrid"/>
        <w:tblW w:w="8417" w:type="dxa"/>
        <w:tblInd w:w="0" w:type="dxa"/>
        <w:tblCellMar>
          <w:top w:w="49" w:type="dxa"/>
          <w:left w:w="115" w:type="dxa"/>
          <w:bottom w:w="0" w:type="dxa"/>
          <w:right w:w="115" w:type="dxa"/>
        </w:tblCellMar>
        <w:tblLook w:val="04A0" w:firstRow="1" w:lastRow="0" w:firstColumn="1" w:lastColumn="0" w:noHBand="0" w:noVBand="1"/>
      </w:tblPr>
      <w:tblGrid>
        <w:gridCol w:w="2424"/>
        <w:gridCol w:w="3108"/>
        <w:gridCol w:w="2885"/>
      </w:tblGrid>
      <w:tr w:rsidR="00E44FD5">
        <w:trPr>
          <w:trHeight w:val="504"/>
        </w:trPr>
        <w:tc>
          <w:tcPr>
            <w:tcW w:w="2424"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 w:firstLine="0"/>
              <w:jc w:val="center"/>
            </w:pPr>
            <w:r>
              <w:t xml:space="preserve">Heads of the expenditure </w:t>
            </w:r>
          </w:p>
        </w:tc>
        <w:tc>
          <w:tcPr>
            <w:tcW w:w="310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0" w:firstLine="0"/>
              <w:jc w:val="center"/>
            </w:pPr>
            <w:r>
              <w:t xml:space="preserve">Monthly average expenditure literate respondents (Tk.) </w:t>
            </w:r>
          </w:p>
        </w:tc>
        <w:tc>
          <w:tcPr>
            <w:tcW w:w="2885"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0" w:firstLine="0"/>
              <w:jc w:val="center"/>
            </w:pPr>
            <w:r>
              <w:t xml:space="preserve">Monthly average expenditure illiterate respondents (Tk.) </w:t>
            </w:r>
          </w:p>
        </w:tc>
      </w:tr>
      <w:tr w:rsidR="00E44FD5">
        <w:trPr>
          <w:trHeight w:val="240"/>
        </w:trPr>
        <w:tc>
          <w:tcPr>
            <w:tcW w:w="2424"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 w:firstLine="0"/>
              <w:jc w:val="center"/>
            </w:pPr>
            <w:proofErr w:type="spellStart"/>
            <w:r>
              <w:t>Fooding</w:t>
            </w:r>
            <w:proofErr w:type="spellEnd"/>
            <w:r>
              <w:t xml:space="preserve"> purpose </w:t>
            </w:r>
          </w:p>
        </w:tc>
        <w:tc>
          <w:tcPr>
            <w:tcW w:w="310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1" w:firstLine="0"/>
              <w:jc w:val="center"/>
            </w:pPr>
            <w:r>
              <w:t xml:space="preserve">4,500 </w:t>
            </w:r>
          </w:p>
        </w:tc>
        <w:tc>
          <w:tcPr>
            <w:tcW w:w="2885"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1" w:right="0" w:firstLine="0"/>
              <w:jc w:val="center"/>
            </w:pPr>
            <w:r>
              <w:t xml:space="preserve">4,500 </w:t>
            </w:r>
          </w:p>
        </w:tc>
      </w:tr>
      <w:tr w:rsidR="00E44FD5">
        <w:trPr>
          <w:trHeight w:val="240"/>
        </w:trPr>
        <w:tc>
          <w:tcPr>
            <w:tcW w:w="2424"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1" w:firstLine="0"/>
              <w:jc w:val="center"/>
            </w:pPr>
            <w:r>
              <w:t xml:space="preserve">Clothing </w:t>
            </w:r>
          </w:p>
        </w:tc>
        <w:tc>
          <w:tcPr>
            <w:tcW w:w="310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1" w:firstLine="0"/>
              <w:jc w:val="center"/>
            </w:pPr>
            <w:r>
              <w:t xml:space="preserve">1,250 </w:t>
            </w:r>
          </w:p>
        </w:tc>
        <w:tc>
          <w:tcPr>
            <w:tcW w:w="2885"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1" w:right="0" w:firstLine="0"/>
              <w:jc w:val="center"/>
            </w:pPr>
            <w:r>
              <w:t xml:space="preserve">9,50 </w:t>
            </w:r>
          </w:p>
        </w:tc>
      </w:tr>
      <w:tr w:rsidR="00E44FD5">
        <w:trPr>
          <w:trHeight w:val="240"/>
        </w:trPr>
        <w:tc>
          <w:tcPr>
            <w:tcW w:w="2424"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1" w:firstLine="0"/>
              <w:jc w:val="center"/>
            </w:pPr>
            <w:r>
              <w:t xml:space="preserve">Education </w:t>
            </w:r>
          </w:p>
        </w:tc>
        <w:tc>
          <w:tcPr>
            <w:tcW w:w="310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1" w:firstLine="0"/>
              <w:jc w:val="center"/>
            </w:pPr>
            <w:r>
              <w:t xml:space="preserve">2,500 </w:t>
            </w:r>
          </w:p>
        </w:tc>
        <w:tc>
          <w:tcPr>
            <w:tcW w:w="2885"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1" w:right="0" w:firstLine="0"/>
              <w:jc w:val="center"/>
            </w:pPr>
            <w:r>
              <w:t xml:space="preserve">2,300 </w:t>
            </w:r>
          </w:p>
        </w:tc>
      </w:tr>
      <w:tr w:rsidR="00E44FD5">
        <w:trPr>
          <w:trHeight w:val="240"/>
        </w:trPr>
        <w:tc>
          <w:tcPr>
            <w:tcW w:w="2424"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 w:firstLine="0"/>
              <w:jc w:val="center"/>
            </w:pPr>
            <w:r>
              <w:t xml:space="preserve">Health care </w:t>
            </w:r>
          </w:p>
        </w:tc>
        <w:tc>
          <w:tcPr>
            <w:tcW w:w="310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1" w:firstLine="0"/>
              <w:jc w:val="center"/>
            </w:pPr>
            <w:r>
              <w:t xml:space="preserve">5,50 </w:t>
            </w:r>
          </w:p>
        </w:tc>
        <w:tc>
          <w:tcPr>
            <w:tcW w:w="2885"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1" w:firstLine="0"/>
              <w:jc w:val="center"/>
            </w:pPr>
            <w:r>
              <w:t xml:space="preserve">570 </w:t>
            </w:r>
          </w:p>
        </w:tc>
      </w:tr>
      <w:tr w:rsidR="00E44FD5">
        <w:trPr>
          <w:trHeight w:val="252"/>
        </w:trPr>
        <w:tc>
          <w:tcPr>
            <w:tcW w:w="2424"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2" w:firstLine="0"/>
              <w:jc w:val="center"/>
            </w:pPr>
            <w:r>
              <w:t xml:space="preserve">Others </w:t>
            </w:r>
          </w:p>
        </w:tc>
        <w:tc>
          <w:tcPr>
            <w:tcW w:w="310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1" w:firstLine="0"/>
              <w:jc w:val="center"/>
            </w:pPr>
            <w:r>
              <w:t xml:space="preserve">5,50 </w:t>
            </w:r>
          </w:p>
        </w:tc>
        <w:tc>
          <w:tcPr>
            <w:tcW w:w="2885"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1" w:firstLine="0"/>
              <w:jc w:val="center"/>
            </w:pPr>
            <w:r>
              <w:t xml:space="preserve">350 </w:t>
            </w:r>
          </w:p>
        </w:tc>
      </w:tr>
      <w:tr w:rsidR="00E44FD5">
        <w:trPr>
          <w:trHeight w:val="240"/>
        </w:trPr>
        <w:tc>
          <w:tcPr>
            <w:tcW w:w="2424"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3" w:right="0" w:firstLine="0"/>
              <w:jc w:val="center"/>
            </w:pPr>
            <w:r>
              <w:t xml:space="preserve">Total </w:t>
            </w:r>
          </w:p>
        </w:tc>
        <w:tc>
          <w:tcPr>
            <w:tcW w:w="310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1" w:firstLine="0"/>
              <w:jc w:val="center"/>
            </w:pPr>
            <w:r>
              <w:t xml:space="preserve">9,350 </w:t>
            </w:r>
          </w:p>
        </w:tc>
        <w:tc>
          <w:tcPr>
            <w:tcW w:w="2885"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1" w:right="0" w:firstLine="0"/>
              <w:jc w:val="center"/>
            </w:pPr>
            <w:r>
              <w:t xml:space="preserve">8,670 </w:t>
            </w:r>
          </w:p>
        </w:tc>
      </w:tr>
      <w:tr w:rsidR="00E44FD5">
        <w:trPr>
          <w:trHeight w:val="305"/>
        </w:trPr>
        <w:tc>
          <w:tcPr>
            <w:tcW w:w="2424"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firstLine="0"/>
              <w:jc w:val="center"/>
            </w:pPr>
            <w:r>
              <w:t xml:space="preserve">Total respondents </w:t>
            </w:r>
          </w:p>
        </w:tc>
        <w:tc>
          <w:tcPr>
            <w:tcW w:w="310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1" w:firstLine="0"/>
              <w:jc w:val="center"/>
            </w:pPr>
            <w:r>
              <w:t>30</w:t>
            </w:r>
            <w:proofErr w:type="gramStart"/>
            <w:r>
              <w:t xml:space="preserve">   (</w:t>
            </w:r>
            <w:proofErr w:type="gramEnd"/>
            <w:r>
              <w:t xml:space="preserve">100%) </w:t>
            </w:r>
          </w:p>
        </w:tc>
        <w:tc>
          <w:tcPr>
            <w:tcW w:w="2885"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1" w:right="0" w:firstLine="0"/>
              <w:jc w:val="center"/>
            </w:pPr>
            <w:r>
              <w:t>30</w:t>
            </w:r>
            <w:proofErr w:type="gramStart"/>
            <w:r>
              <w:t xml:space="preserve">   (</w:t>
            </w:r>
            <w:proofErr w:type="gramEnd"/>
            <w:r>
              <w:t xml:space="preserve">100%) </w:t>
            </w:r>
          </w:p>
        </w:tc>
      </w:tr>
    </w:tbl>
    <w:p w:rsidR="00E44FD5" w:rsidRDefault="0038505C">
      <w:pPr>
        <w:spacing w:after="236"/>
        <w:ind w:left="-5" w:right="0"/>
      </w:pPr>
      <w:r>
        <w:t xml:space="preserve">The table 9.8 shows that total monthly average expenditure of literate respondents is Tk. 9,350 as against Tk. 8,670 of the illiterate respondents.  </w:t>
      </w:r>
    </w:p>
    <w:p w:rsidR="00E44FD5" w:rsidRDefault="0038505C">
      <w:pPr>
        <w:ind w:left="345" w:right="0" w:hanging="360"/>
      </w:pPr>
      <w:r>
        <w:rPr>
          <w:rFonts w:ascii="Segoe UI Symbol" w:eastAsia="Segoe UI Symbol" w:hAnsi="Segoe UI Symbol" w:cs="Segoe UI Symbol"/>
        </w:rPr>
        <w:t>•</w:t>
      </w:r>
      <w:r>
        <w:rPr>
          <w:rFonts w:ascii="Arial" w:eastAsia="Arial" w:hAnsi="Arial" w:cs="Arial"/>
        </w:rPr>
        <w:t xml:space="preserve"> </w:t>
      </w:r>
      <w:r>
        <w:t>Other heads of expenditure include expenditure of social festival, marriage ceremony, home repairing, re</w:t>
      </w:r>
      <w:r>
        <w:t xml:space="preserve">creation, hospitality etc.  </w:t>
      </w:r>
    </w:p>
    <w:p w:rsidR="00E44FD5" w:rsidRDefault="0038505C">
      <w:pPr>
        <w:spacing w:after="177" w:line="259" w:lineRule="auto"/>
        <w:ind w:left="-5" w:right="0"/>
        <w:jc w:val="left"/>
      </w:pPr>
      <w:r>
        <w:rPr>
          <w:b/>
          <w:i/>
        </w:rPr>
        <w:t xml:space="preserve">9.9 Surplus amount of the Respondents </w:t>
      </w:r>
    </w:p>
    <w:p w:rsidR="00E44FD5" w:rsidRDefault="0038505C">
      <w:pPr>
        <w:ind w:left="-5" w:right="0"/>
      </w:pPr>
      <w:r>
        <w:t xml:space="preserve">Surplus </w:t>
      </w:r>
      <w:proofErr w:type="gramStart"/>
      <w:r>
        <w:t>amount</w:t>
      </w:r>
      <w:proofErr w:type="gramEnd"/>
      <w:r>
        <w:t xml:space="preserve"> of respondents is shown in the following table. </w:t>
      </w:r>
    </w:p>
    <w:p w:rsidR="00E44FD5" w:rsidRDefault="0038505C">
      <w:pPr>
        <w:spacing w:after="180" w:line="259" w:lineRule="auto"/>
        <w:ind w:left="0" w:right="0" w:firstLine="0"/>
        <w:jc w:val="left"/>
      </w:pPr>
      <w:r>
        <w:rPr>
          <w:b/>
        </w:rPr>
        <w:t xml:space="preserve"> </w:t>
      </w:r>
    </w:p>
    <w:p w:rsidR="00E44FD5" w:rsidRDefault="0038505C">
      <w:pPr>
        <w:pStyle w:val="Heading1"/>
        <w:ind w:left="-5"/>
      </w:pPr>
      <w:r>
        <w:t xml:space="preserve">Table—9.9 Amount of Surplus (Monthly) </w:t>
      </w:r>
    </w:p>
    <w:tbl>
      <w:tblPr>
        <w:tblStyle w:val="TableGrid"/>
        <w:tblW w:w="8417" w:type="dxa"/>
        <w:tblInd w:w="0" w:type="dxa"/>
        <w:tblCellMar>
          <w:top w:w="49" w:type="dxa"/>
          <w:left w:w="115" w:type="dxa"/>
          <w:bottom w:w="0" w:type="dxa"/>
          <w:right w:w="115" w:type="dxa"/>
        </w:tblCellMar>
        <w:tblLook w:val="04A0" w:firstRow="1" w:lastRow="0" w:firstColumn="1" w:lastColumn="0" w:noHBand="0" w:noVBand="1"/>
      </w:tblPr>
      <w:tblGrid>
        <w:gridCol w:w="2780"/>
        <w:gridCol w:w="2822"/>
        <w:gridCol w:w="2815"/>
      </w:tblGrid>
      <w:tr w:rsidR="00E44FD5">
        <w:trPr>
          <w:trHeight w:val="360"/>
        </w:trPr>
        <w:tc>
          <w:tcPr>
            <w:tcW w:w="277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1" w:firstLine="0"/>
              <w:jc w:val="center"/>
            </w:pPr>
            <w:r>
              <w:t xml:space="preserve">Surplus amount (Tk.) </w:t>
            </w:r>
          </w:p>
        </w:tc>
        <w:tc>
          <w:tcPr>
            <w:tcW w:w="2822"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firstLine="0"/>
              <w:jc w:val="center"/>
            </w:pPr>
            <w:r>
              <w:t xml:space="preserve">No. Literate Respondents </w:t>
            </w:r>
          </w:p>
        </w:tc>
        <w:tc>
          <w:tcPr>
            <w:tcW w:w="2815"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2" w:firstLine="0"/>
              <w:jc w:val="center"/>
            </w:pPr>
            <w:r>
              <w:t xml:space="preserve">No. of Illiterate respondents </w:t>
            </w:r>
          </w:p>
        </w:tc>
      </w:tr>
      <w:tr w:rsidR="00E44FD5">
        <w:trPr>
          <w:trHeight w:val="322"/>
        </w:trPr>
        <w:tc>
          <w:tcPr>
            <w:tcW w:w="277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1" w:right="0" w:firstLine="0"/>
              <w:jc w:val="center"/>
            </w:pPr>
            <w:r>
              <w:t xml:space="preserve">5,00-1000 </w:t>
            </w:r>
          </w:p>
        </w:tc>
        <w:tc>
          <w:tcPr>
            <w:tcW w:w="2822"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1" w:firstLine="0"/>
              <w:jc w:val="center"/>
            </w:pPr>
            <w:r>
              <w:t xml:space="preserve">7    </w:t>
            </w:r>
          </w:p>
        </w:tc>
        <w:tc>
          <w:tcPr>
            <w:tcW w:w="2815"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firstLine="0"/>
              <w:jc w:val="center"/>
            </w:pPr>
            <w:r>
              <w:t xml:space="preserve">6  </w:t>
            </w:r>
          </w:p>
        </w:tc>
      </w:tr>
      <w:tr w:rsidR="00E44FD5">
        <w:trPr>
          <w:trHeight w:val="293"/>
        </w:trPr>
        <w:tc>
          <w:tcPr>
            <w:tcW w:w="277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1" w:firstLine="0"/>
              <w:jc w:val="center"/>
            </w:pPr>
            <w:r>
              <w:t xml:space="preserve">1,001-1,500 </w:t>
            </w:r>
          </w:p>
        </w:tc>
        <w:tc>
          <w:tcPr>
            <w:tcW w:w="2822"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1" w:firstLine="0"/>
              <w:jc w:val="center"/>
            </w:pPr>
            <w:r>
              <w:t xml:space="preserve">6   </w:t>
            </w:r>
          </w:p>
        </w:tc>
        <w:tc>
          <w:tcPr>
            <w:tcW w:w="2815"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firstLine="0"/>
              <w:jc w:val="center"/>
            </w:pPr>
            <w:r>
              <w:t xml:space="preserve">4  </w:t>
            </w:r>
          </w:p>
        </w:tc>
      </w:tr>
      <w:tr w:rsidR="00E44FD5">
        <w:trPr>
          <w:trHeight w:val="293"/>
        </w:trPr>
        <w:tc>
          <w:tcPr>
            <w:tcW w:w="277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1" w:firstLine="0"/>
              <w:jc w:val="center"/>
            </w:pPr>
            <w:r>
              <w:t xml:space="preserve">1,501-2,000 </w:t>
            </w:r>
          </w:p>
        </w:tc>
        <w:tc>
          <w:tcPr>
            <w:tcW w:w="2822"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1" w:firstLine="0"/>
              <w:jc w:val="center"/>
            </w:pPr>
            <w:r>
              <w:t xml:space="preserve">4    </w:t>
            </w:r>
          </w:p>
        </w:tc>
        <w:tc>
          <w:tcPr>
            <w:tcW w:w="2815"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1" w:firstLine="0"/>
              <w:jc w:val="center"/>
            </w:pPr>
            <w:r>
              <w:t xml:space="preserve"> 00   </w:t>
            </w:r>
          </w:p>
        </w:tc>
      </w:tr>
      <w:tr w:rsidR="00E44FD5">
        <w:trPr>
          <w:trHeight w:val="307"/>
        </w:trPr>
        <w:tc>
          <w:tcPr>
            <w:tcW w:w="277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1" w:firstLine="0"/>
              <w:jc w:val="center"/>
            </w:pPr>
            <w:r>
              <w:t xml:space="preserve">2001-2500 </w:t>
            </w:r>
          </w:p>
        </w:tc>
        <w:tc>
          <w:tcPr>
            <w:tcW w:w="2822"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1" w:firstLine="0"/>
              <w:jc w:val="center"/>
            </w:pPr>
            <w:r>
              <w:t xml:space="preserve">3    </w:t>
            </w:r>
          </w:p>
        </w:tc>
        <w:tc>
          <w:tcPr>
            <w:tcW w:w="2815"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1" w:firstLine="0"/>
              <w:jc w:val="center"/>
            </w:pPr>
            <w:r>
              <w:t xml:space="preserve"> 00  </w:t>
            </w:r>
          </w:p>
        </w:tc>
      </w:tr>
      <w:tr w:rsidR="00E44FD5">
        <w:trPr>
          <w:trHeight w:val="290"/>
        </w:trPr>
        <w:tc>
          <w:tcPr>
            <w:tcW w:w="277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1" w:firstLine="0"/>
              <w:jc w:val="center"/>
            </w:pPr>
            <w:r>
              <w:t xml:space="preserve">2501-3, 000 </w:t>
            </w:r>
          </w:p>
        </w:tc>
        <w:tc>
          <w:tcPr>
            <w:tcW w:w="2822"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1" w:firstLine="0"/>
              <w:jc w:val="center"/>
            </w:pPr>
            <w:r>
              <w:t xml:space="preserve">2   </w:t>
            </w:r>
          </w:p>
        </w:tc>
        <w:tc>
          <w:tcPr>
            <w:tcW w:w="2815"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1" w:right="0" w:firstLine="0"/>
              <w:jc w:val="center"/>
            </w:pPr>
            <w:r>
              <w:t xml:space="preserve">00 </w:t>
            </w:r>
          </w:p>
        </w:tc>
      </w:tr>
      <w:tr w:rsidR="00E44FD5">
        <w:trPr>
          <w:trHeight w:val="307"/>
        </w:trPr>
        <w:tc>
          <w:tcPr>
            <w:tcW w:w="277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 w:firstLine="0"/>
              <w:jc w:val="center"/>
            </w:pPr>
            <w:r>
              <w:t xml:space="preserve">3001-Above </w:t>
            </w:r>
          </w:p>
        </w:tc>
        <w:tc>
          <w:tcPr>
            <w:tcW w:w="2822"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1" w:firstLine="0"/>
              <w:jc w:val="center"/>
            </w:pPr>
            <w:r>
              <w:t xml:space="preserve">1     </w:t>
            </w:r>
          </w:p>
        </w:tc>
        <w:tc>
          <w:tcPr>
            <w:tcW w:w="2815"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firstLine="0"/>
              <w:jc w:val="center"/>
            </w:pPr>
            <w:r>
              <w:t xml:space="preserve">00   </w:t>
            </w:r>
          </w:p>
        </w:tc>
      </w:tr>
    </w:tbl>
    <w:p w:rsidR="00E44FD5" w:rsidRDefault="0038505C">
      <w:pPr>
        <w:spacing w:after="29" w:line="259" w:lineRule="auto"/>
        <w:ind w:left="1390" w:right="0" w:firstLine="0"/>
        <w:jc w:val="left"/>
      </w:pPr>
      <w:r>
        <w:t xml:space="preserve"> </w:t>
      </w:r>
    </w:p>
    <w:p w:rsidR="00E44FD5" w:rsidRDefault="0038505C">
      <w:pPr>
        <w:ind w:left="-5" w:right="0"/>
      </w:pPr>
      <w:r>
        <w:t xml:space="preserve">The table 9.9 shows that both of the literate and illiterate respondents have surplus. Maximum surplus amount was found between 5, 00/-—1,000/-in literate and illiterate respondents under the study.          </w:t>
      </w:r>
    </w:p>
    <w:p w:rsidR="00E44FD5" w:rsidRDefault="0038505C">
      <w:pPr>
        <w:spacing w:after="177" w:line="259" w:lineRule="auto"/>
        <w:ind w:left="-5" w:right="0"/>
        <w:jc w:val="left"/>
      </w:pPr>
      <w:r>
        <w:rPr>
          <w:b/>
          <w:i/>
        </w:rPr>
        <w:t>9. 10 Income Deficit of the Respondents</w:t>
      </w:r>
      <w:r>
        <w:rPr>
          <w:i/>
        </w:rPr>
        <w:t xml:space="preserve"> </w:t>
      </w:r>
    </w:p>
    <w:p w:rsidR="00E44FD5" w:rsidRDefault="0038505C">
      <w:pPr>
        <w:ind w:left="-5" w:right="0"/>
      </w:pPr>
      <w:r>
        <w:t>The ta</w:t>
      </w:r>
      <w:r>
        <w:t xml:space="preserve">ble shows the income deficit   of respondents in the study area.   </w:t>
      </w:r>
    </w:p>
    <w:p w:rsidR="00E44FD5" w:rsidRDefault="0038505C">
      <w:pPr>
        <w:pStyle w:val="Heading1"/>
        <w:ind w:left="-5"/>
      </w:pPr>
      <w:r>
        <w:t xml:space="preserve">Table—9.10 Income Deficit of the Respondents (Monthly) </w:t>
      </w:r>
    </w:p>
    <w:tbl>
      <w:tblPr>
        <w:tblStyle w:val="TableGrid"/>
        <w:tblW w:w="9005" w:type="dxa"/>
        <w:tblInd w:w="0" w:type="dxa"/>
        <w:tblCellMar>
          <w:top w:w="49" w:type="dxa"/>
          <w:left w:w="115" w:type="dxa"/>
          <w:bottom w:w="0" w:type="dxa"/>
          <w:right w:w="115" w:type="dxa"/>
        </w:tblCellMar>
        <w:tblLook w:val="04A0" w:firstRow="1" w:lastRow="0" w:firstColumn="1" w:lastColumn="0" w:noHBand="0" w:noVBand="1"/>
      </w:tblPr>
      <w:tblGrid>
        <w:gridCol w:w="2257"/>
        <w:gridCol w:w="1687"/>
        <w:gridCol w:w="1687"/>
        <w:gridCol w:w="1687"/>
        <w:gridCol w:w="1687"/>
      </w:tblGrid>
      <w:tr w:rsidR="00E44FD5">
        <w:trPr>
          <w:trHeight w:val="276"/>
        </w:trPr>
        <w:tc>
          <w:tcPr>
            <w:tcW w:w="2256"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0" w:firstLine="0"/>
              <w:jc w:val="center"/>
            </w:pPr>
            <w:r>
              <w:t xml:space="preserve">Deficit  </w:t>
            </w:r>
          </w:p>
        </w:tc>
        <w:tc>
          <w:tcPr>
            <w:tcW w:w="3374" w:type="dxa"/>
            <w:gridSpan w:val="2"/>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2" w:firstLine="0"/>
              <w:jc w:val="center"/>
            </w:pPr>
            <w:r>
              <w:t xml:space="preserve">No. of literate respondents </w:t>
            </w:r>
          </w:p>
        </w:tc>
        <w:tc>
          <w:tcPr>
            <w:tcW w:w="3374" w:type="dxa"/>
            <w:gridSpan w:val="2"/>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firstLine="0"/>
              <w:jc w:val="center"/>
            </w:pPr>
            <w:r>
              <w:t xml:space="preserve">No. of Illiterate respondents </w:t>
            </w:r>
          </w:p>
        </w:tc>
      </w:tr>
      <w:tr w:rsidR="00E44FD5">
        <w:trPr>
          <w:trHeight w:val="290"/>
        </w:trPr>
        <w:tc>
          <w:tcPr>
            <w:tcW w:w="2256"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0" w:firstLine="0"/>
              <w:jc w:val="center"/>
            </w:pPr>
            <w:r>
              <w:t xml:space="preserve">Having deficit  </w:t>
            </w:r>
          </w:p>
        </w:tc>
        <w:tc>
          <w:tcPr>
            <w:tcW w:w="168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firstLine="0"/>
              <w:jc w:val="center"/>
            </w:pPr>
            <w:r>
              <w:t xml:space="preserve">7 </w:t>
            </w:r>
          </w:p>
        </w:tc>
        <w:tc>
          <w:tcPr>
            <w:tcW w:w="168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27" w:right="0" w:firstLine="0"/>
              <w:jc w:val="center"/>
            </w:pPr>
            <w:r>
              <w:t xml:space="preserve">23.33% </w:t>
            </w:r>
          </w:p>
        </w:tc>
        <w:tc>
          <w:tcPr>
            <w:tcW w:w="168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1" w:right="0" w:firstLine="0"/>
              <w:jc w:val="center"/>
            </w:pPr>
            <w:r>
              <w:t xml:space="preserve">20 </w:t>
            </w:r>
          </w:p>
        </w:tc>
        <w:tc>
          <w:tcPr>
            <w:tcW w:w="168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79" w:right="0" w:firstLine="0"/>
              <w:jc w:val="center"/>
            </w:pPr>
            <w:r>
              <w:t xml:space="preserve">66.67% </w:t>
            </w:r>
          </w:p>
        </w:tc>
      </w:tr>
      <w:tr w:rsidR="00E44FD5">
        <w:trPr>
          <w:trHeight w:val="276"/>
        </w:trPr>
        <w:tc>
          <w:tcPr>
            <w:tcW w:w="2256"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0" w:firstLine="0"/>
              <w:jc w:val="center"/>
            </w:pPr>
            <w:r>
              <w:t xml:space="preserve">Having no deficit  </w:t>
            </w:r>
          </w:p>
        </w:tc>
        <w:tc>
          <w:tcPr>
            <w:tcW w:w="168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1" w:right="0" w:firstLine="0"/>
              <w:jc w:val="center"/>
            </w:pPr>
            <w:r>
              <w:t xml:space="preserve">23 </w:t>
            </w:r>
          </w:p>
        </w:tc>
        <w:tc>
          <w:tcPr>
            <w:tcW w:w="168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79" w:right="0" w:firstLine="0"/>
              <w:jc w:val="center"/>
            </w:pPr>
            <w:r>
              <w:t xml:space="preserve">76.67% </w:t>
            </w:r>
          </w:p>
        </w:tc>
        <w:tc>
          <w:tcPr>
            <w:tcW w:w="168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1" w:right="0" w:firstLine="0"/>
              <w:jc w:val="center"/>
            </w:pPr>
            <w:r>
              <w:t xml:space="preserve">10 </w:t>
            </w:r>
          </w:p>
        </w:tc>
        <w:tc>
          <w:tcPr>
            <w:tcW w:w="168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79" w:right="0" w:firstLine="0"/>
              <w:jc w:val="center"/>
            </w:pPr>
            <w:r>
              <w:t xml:space="preserve">33.33% </w:t>
            </w:r>
          </w:p>
        </w:tc>
      </w:tr>
      <w:tr w:rsidR="00E44FD5">
        <w:trPr>
          <w:trHeight w:val="266"/>
        </w:trPr>
        <w:tc>
          <w:tcPr>
            <w:tcW w:w="2256"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firstLine="0"/>
              <w:jc w:val="center"/>
            </w:pPr>
            <w:r>
              <w:t xml:space="preserve">Total respondents </w:t>
            </w:r>
          </w:p>
        </w:tc>
        <w:tc>
          <w:tcPr>
            <w:tcW w:w="168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1" w:right="0" w:firstLine="0"/>
              <w:jc w:val="center"/>
            </w:pPr>
            <w:r>
              <w:t xml:space="preserve">30 </w:t>
            </w:r>
          </w:p>
        </w:tc>
        <w:tc>
          <w:tcPr>
            <w:tcW w:w="168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211" w:right="0" w:firstLine="0"/>
              <w:jc w:val="center"/>
            </w:pPr>
            <w:r>
              <w:t xml:space="preserve">100% </w:t>
            </w:r>
          </w:p>
        </w:tc>
        <w:tc>
          <w:tcPr>
            <w:tcW w:w="168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1" w:right="0" w:firstLine="0"/>
              <w:jc w:val="center"/>
            </w:pPr>
            <w:r>
              <w:t xml:space="preserve">30 </w:t>
            </w:r>
          </w:p>
        </w:tc>
        <w:tc>
          <w:tcPr>
            <w:tcW w:w="168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right="0" w:firstLine="0"/>
              <w:jc w:val="center"/>
            </w:pPr>
            <w:r>
              <w:t xml:space="preserve">100% </w:t>
            </w:r>
          </w:p>
        </w:tc>
      </w:tr>
    </w:tbl>
    <w:p w:rsidR="00E44FD5" w:rsidRDefault="0038505C">
      <w:pPr>
        <w:spacing w:after="159"/>
        <w:ind w:left="-5" w:right="0"/>
      </w:pPr>
      <w:r>
        <w:t xml:space="preserve">The table 9.10 shows that 23.33% literate and 66.67% illiterate respondents have income deficit in the study area.   </w:t>
      </w:r>
    </w:p>
    <w:p w:rsidR="00E44FD5" w:rsidRDefault="0038505C">
      <w:pPr>
        <w:spacing w:after="177" w:line="259" w:lineRule="auto"/>
        <w:ind w:left="-5" w:right="0"/>
        <w:jc w:val="left"/>
      </w:pPr>
      <w:r>
        <w:rPr>
          <w:b/>
          <w:i/>
        </w:rPr>
        <w:t xml:space="preserve">9.11 Deficit amount of the Respondents </w:t>
      </w:r>
    </w:p>
    <w:p w:rsidR="00E44FD5" w:rsidRDefault="0038505C">
      <w:pPr>
        <w:spacing w:after="156"/>
        <w:ind w:left="-5" w:right="0"/>
      </w:pPr>
      <w:r>
        <w:t xml:space="preserve">Deficit </w:t>
      </w:r>
      <w:proofErr w:type="gramStart"/>
      <w:r>
        <w:t>amount</w:t>
      </w:r>
      <w:proofErr w:type="gramEnd"/>
      <w:r>
        <w:t xml:space="preserve"> of respondents is shown in the following table</w:t>
      </w:r>
      <w:r>
        <w:rPr>
          <w:b/>
        </w:rPr>
        <w:t xml:space="preserve"> </w:t>
      </w:r>
    </w:p>
    <w:p w:rsidR="00E44FD5" w:rsidRDefault="0038505C">
      <w:pPr>
        <w:pStyle w:val="Heading1"/>
        <w:ind w:left="-5"/>
      </w:pPr>
      <w:r>
        <w:t xml:space="preserve">Table—9.11 Amount of Deficit (Monthly) </w:t>
      </w:r>
    </w:p>
    <w:tbl>
      <w:tblPr>
        <w:tblStyle w:val="TableGrid"/>
        <w:tblW w:w="8417" w:type="dxa"/>
        <w:tblInd w:w="0" w:type="dxa"/>
        <w:tblCellMar>
          <w:top w:w="49" w:type="dxa"/>
          <w:left w:w="115" w:type="dxa"/>
          <w:bottom w:w="0" w:type="dxa"/>
          <w:right w:w="115" w:type="dxa"/>
        </w:tblCellMar>
        <w:tblLook w:val="04A0" w:firstRow="1" w:lastRow="0" w:firstColumn="1" w:lastColumn="0" w:noHBand="0" w:noVBand="1"/>
      </w:tblPr>
      <w:tblGrid>
        <w:gridCol w:w="2779"/>
        <w:gridCol w:w="2820"/>
        <w:gridCol w:w="2818"/>
      </w:tblGrid>
      <w:tr w:rsidR="00E44FD5">
        <w:trPr>
          <w:trHeight w:val="307"/>
        </w:trPr>
        <w:tc>
          <w:tcPr>
            <w:tcW w:w="277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1" w:firstLine="0"/>
              <w:jc w:val="center"/>
            </w:pPr>
            <w:r>
              <w:t xml:space="preserve">Deficit amount (Tk.) </w:t>
            </w:r>
          </w:p>
        </w:tc>
        <w:tc>
          <w:tcPr>
            <w:tcW w:w="282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firstLine="0"/>
              <w:jc w:val="center"/>
            </w:pPr>
            <w:r>
              <w:t xml:space="preserve">No. of Literate respondents </w:t>
            </w:r>
          </w:p>
        </w:tc>
        <w:tc>
          <w:tcPr>
            <w:tcW w:w="281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firstLine="0"/>
              <w:jc w:val="center"/>
            </w:pPr>
            <w:r>
              <w:t xml:space="preserve">No. of Illiterate respondents   </w:t>
            </w:r>
          </w:p>
        </w:tc>
      </w:tr>
      <w:tr w:rsidR="00E44FD5">
        <w:trPr>
          <w:trHeight w:val="235"/>
        </w:trPr>
        <w:tc>
          <w:tcPr>
            <w:tcW w:w="277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1" w:firstLine="0"/>
              <w:jc w:val="center"/>
            </w:pPr>
            <w:r>
              <w:t xml:space="preserve">5,00-1,000 </w:t>
            </w:r>
          </w:p>
        </w:tc>
        <w:tc>
          <w:tcPr>
            <w:tcW w:w="282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firstLine="0"/>
              <w:jc w:val="center"/>
            </w:pPr>
            <w:r>
              <w:t xml:space="preserve">4 </w:t>
            </w:r>
          </w:p>
        </w:tc>
        <w:tc>
          <w:tcPr>
            <w:tcW w:w="281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6" w:firstLine="0"/>
              <w:jc w:val="center"/>
            </w:pPr>
            <w:r>
              <w:t xml:space="preserve">8 </w:t>
            </w:r>
          </w:p>
        </w:tc>
      </w:tr>
      <w:tr w:rsidR="00E44FD5">
        <w:trPr>
          <w:trHeight w:val="240"/>
        </w:trPr>
        <w:tc>
          <w:tcPr>
            <w:tcW w:w="277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1" w:firstLine="0"/>
              <w:jc w:val="center"/>
            </w:pPr>
            <w:r>
              <w:t xml:space="preserve">1001-1500 </w:t>
            </w:r>
          </w:p>
        </w:tc>
        <w:tc>
          <w:tcPr>
            <w:tcW w:w="282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firstLine="0"/>
              <w:jc w:val="center"/>
            </w:pPr>
            <w:r>
              <w:t xml:space="preserve">2 </w:t>
            </w:r>
          </w:p>
        </w:tc>
        <w:tc>
          <w:tcPr>
            <w:tcW w:w="281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6" w:firstLine="0"/>
              <w:jc w:val="center"/>
            </w:pPr>
            <w:r>
              <w:t xml:space="preserve">6 </w:t>
            </w:r>
          </w:p>
        </w:tc>
      </w:tr>
      <w:tr w:rsidR="00E44FD5">
        <w:trPr>
          <w:trHeight w:val="314"/>
        </w:trPr>
        <w:tc>
          <w:tcPr>
            <w:tcW w:w="277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1" w:firstLine="0"/>
              <w:jc w:val="center"/>
            </w:pPr>
            <w:r>
              <w:t xml:space="preserve">1501-2000 </w:t>
            </w:r>
          </w:p>
        </w:tc>
        <w:tc>
          <w:tcPr>
            <w:tcW w:w="282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firstLine="0"/>
              <w:jc w:val="center"/>
            </w:pPr>
            <w:r>
              <w:t xml:space="preserve">1 </w:t>
            </w:r>
          </w:p>
        </w:tc>
        <w:tc>
          <w:tcPr>
            <w:tcW w:w="281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6" w:firstLine="0"/>
              <w:jc w:val="center"/>
            </w:pPr>
            <w:r>
              <w:t xml:space="preserve">4 </w:t>
            </w:r>
          </w:p>
        </w:tc>
      </w:tr>
      <w:tr w:rsidR="00E44FD5">
        <w:trPr>
          <w:trHeight w:val="288"/>
        </w:trPr>
        <w:tc>
          <w:tcPr>
            <w:tcW w:w="277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 w:firstLine="0"/>
              <w:jc w:val="center"/>
            </w:pPr>
            <w:r>
              <w:t xml:space="preserve">2001-Above </w:t>
            </w:r>
          </w:p>
        </w:tc>
        <w:tc>
          <w:tcPr>
            <w:tcW w:w="282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firstLine="0"/>
              <w:jc w:val="center"/>
            </w:pPr>
            <w:r>
              <w:t xml:space="preserve">1 </w:t>
            </w:r>
          </w:p>
        </w:tc>
        <w:tc>
          <w:tcPr>
            <w:tcW w:w="281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6" w:firstLine="0"/>
              <w:jc w:val="center"/>
            </w:pPr>
            <w:r>
              <w:t xml:space="preserve">2 </w:t>
            </w:r>
          </w:p>
        </w:tc>
      </w:tr>
    </w:tbl>
    <w:p w:rsidR="00E44FD5" w:rsidRDefault="0038505C">
      <w:pPr>
        <w:ind w:left="-5" w:right="0"/>
      </w:pPr>
      <w:r>
        <w:t xml:space="preserve">The table 9.11 shows that both of the literate and illiterate respondents have deficit. But maximum deficit was found between Tk.5,00 and Tk.1,000. Maximum illiterate respondents have income deficit in the study area.  </w:t>
      </w:r>
    </w:p>
    <w:p w:rsidR="00E44FD5" w:rsidRDefault="0038505C">
      <w:pPr>
        <w:pStyle w:val="Heading1"/>
        <w:spacing w:after="176"/>
        <w:ind w:left="-5"/>
      </w:pPr>
      <w:r>
        <w:t xml:space="preserve">10. The Impact of Formal Education on Society </w:t>
      </w:r>
      <w:r>
        <w:rPr>
          <w:b w:val="0"/>
        </w:rPr>
        <w:t xml:space="preserve"> </w:t>
      </w:r>
    </w:p>
    <w:p w:rsidR="00E44FD5" w:rsidRDefault="0038505C">
      <w:pPr>
        <w:ind w:left="-5" w:right="0"/>
      </w:pPr>
      <w:r>
        <w:t xml:space="preserve">Formal education developed the people of social relationship, interaction of individuals, groups, institutions and organization of society.  </w:t>
      </w:r>
    </w:p>
    <w:p w:rsidR="00E44FD5" w:rsidRDefault="0038505C">
      <w:pPr>
        <w:spacing w:after="177" w:line="259" w:lineRule="auto"/>
        <w:ind w:left="-5" w:right="0"/>
        <w:jc w:val="left"/>
      </w:pPr>
      <w:r>
        <w:rPr>
          <w:b/>
          <w:i/>
        </w:rPr>
        <w:t xml:space="preserve">10.1 Social Leadership in Social Organizations  </w:t>
      </w:r>
    </w:p>
    <w:p w:rsidR="00E44FD5" w:rsidRDefault="0038505C">
      <w:pPr>
        <w:ind w:left="-5" w:right="0"/>
      </w:pPr>
      <w:r>
        <w:t>The table shows t</w:t>
      </w:r>
      <w:r>
        <w:t xml:space="preserve">he social leadership of the respondents </w:t>
      </w:r>
      <w:r>
        <w:br w:type="page"/>
      </w:r>
    </w:p>
    <w:p w:rsidR="00E44FD5" w:rsidRDefault="0038505C">
      <w:pPr>
        <w:pStyle w:val="Heading1"/>
        <w:ind w:left="-5"/>
      </w:pPr>
      <w:r>
        <w:t xml:space="preserve">Table—10.1 Social Leadership of the Respondents </w:t>
      </w:r>
    </w:p>
    <w:tbl>
      <w:tblPr>
        <w:tblStyle w:val="TableGrid"/>
        <w:tblW w:w="9046" w:type="dxa"/>
        <w:tblInd w:w="0" w:type="dxa"/>
        <w:tblCellMar>
          <w:top w:w="49" w:type="dxa"/>
          <w:left w:w="12" w:type="dxa"/>
          <w:bottom w:w="0" w:type="dxa"/>
          <w:right w:w="68" w:type="dxa"/>
        </w:tblCellMar>
        <w:tblLook w:val="04A0" w:firstRow="1" w:lastRow="0" w:firstColumn="1" w:lastColumn="0" w:noHBand="0" w:noVBand="1"/>
      </w:tblPr>
      <w:tblGrid>
        <w:gridCol w:w="1801"/>
        <w:gridCol w:w="1800"/>
        <w:gridCol w:w="1800"/>
        <w:gridCol w:w="1802"/>
        <w:gridCol w:w="1843"/>
      </w:tblGrid>
      <w:tr w:rsidR="00E44FD5">
        <w:trPr>
          <w:trHeight w:val="269"/>
        </w:trPr>
        <w:tc>
          <w:tcPr>
            <w:tcW w:w="180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9" w:firstLine="0"/>
              <w:jc w:val="center"/>
            </w:pPr>
            <w:r>
              <w:t xml:space="preserve">Organizations </w:t>
            </w:r>
          </w:p>
        </w:tc>
        <w:tc>
          <w:tcPr>
            <w:tcW w:w="180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29" w:right="0" w:firstLine="0"/>
              <w:jc w:val="left"/>
            </w:pPr>
            <w:r>
              <w:t xml:space="preserve">Literate Respondent </w:t>
            </w:r>
          </w:p>
        </w:tc>
        <w:tc>
          <w:tcPr>
            <w:tcW w:w="180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8" w:firstLine="0"/>
              <w:jc w:val="center"/>
            </w:pPr>
            <w:r>
              <w:t xml:space="preserve">Percentage </w:t>
            </w:r>
          </w:p>
        </w:tc>
        <w:tc>
          <w:tcPr>
            <w:tcW w:w="1802"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0" w:firstLine="0"/>
            </w:pPr>
            <w:r>
              <w:t xml:space="preserve">Illiterate Respondent </w:t>
            </w:r>
          </w:p>
        </w:tc>
        <w:tc>
          <w:tcPr>
            <w:tcW w:w="1843"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0" w:firstLine="0"/>
              <w:jc w:val="center"/>
            </w:pPr>
            <w:r>
              <w:t xml:space="preserve">Percent-age </w:t>
            </w:r>
          </w:p>
        </w:tc>
      </w:tr>
      <w:tr w:rsidR="00E44FD5">
        <w:trPr>
          <w:trHeight w:val="252"/>
        </w:trPr>
        <w:tc>
          <w:tcPr>
            <w:tcW w:w="180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0" w:firstLine="0"/>
              <w:jc w:val="center"/>
            </w:pPr>
            <w:r>
              <w:t xml:space="preserve">Primary School </w:t>
            </w:r>
          </w:p>
        </w:tc>
        <w:tc>
          <w:tcPr>
            <w:tcW w:w="180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6" w:firstLine="0"/>
              <w:jc w:val="center"/>
            </w:pPr>
            <w:r>
              <w:t xml:space="preserve">6 </w:t>
            </w:r>
          </w:p>
        </w:tc>
        <w:tc>
          <w:tcPr>
            <w:tcW w:w="180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7" w:firstLine="0"/>
              <w:jc w:val="center"/>
            </w:pPr>
            <w:r>
              <w:t xml:space="preserve">20% </w:t>
            </w:r>
          </w:p>
        </w:tc>
        <w:tc>
          <w:tcPr>
            <w:tcW w:w="1802"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9" w:firstLine="0"/>
              <w:jc w:val="center"/>
            </w:pPr>
            <w:r>
              <w:t xml:space="preserve">2 </w:t>
            </w:r>
          </w:p>
        </w:tc>
        <w:tc>
          <w:tcPr>
            <w:tcW w:w="1843"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5" w:firstLine="0"/>
              <w:jc w:val="center"/>
            </w:pPr>
            <w:r>
              <w:t xml:space="preserve">6.67% </w:t>
            </w:r>
          </w:p>
        </w:tc>
      </w:tr>
      <w:tr w:rsidR="00E44FD5">
        <w:trPr>
          <w:trHeight w:val="271"/>
        </w:trPr>
        <w:tc>
          <w:tcPr>
            <w:tcW w:w="180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7" w:firstLine="0"/>
              <w:jc w:val="center"/>
            </w:pPr>
            <w:r>
              <w:t xml:space="preserve">High school </w:t>
            </w:r>
          </w:p>
        </w:tc>
        <w:tc>
          <w:tcPr>
            <w:tcW w:w="180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6" w:firstLine="0"/>
              <w:jc w:val="center"/>
            </w:pPr>
            <w:r>
              <w:t xml:space="preserve">3 </w:t>
            </w:r>
          </w:p>
        </w:tc>
        <w:tc>
          <w:tcPr>
            <w:tcW w:w="180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7" w:firstLine="0"/>
              <w:jc w:val="center"/>
            </w:pPr>
            <w:r>
              <w:t xml:space="preserve">10% </w:t>
            </w:r>
          </w:p>
        </w:tc>
        <w:tc>
          <w:tcPr>
            <w:tcW w:w="1802"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9" w:firstLine="0"/>
              <w:jc w:val="center"/>
            </w:pPr>
            <w:r>
              <w:t xml:space="preserve">00 </w:t>
            </w:r>
          </w:p>
        </w:tc>
        <w:tc>
          <w:tcPr>
            <w:tcW w:w="1843"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7" w:firstLine="0"/>
              <w:jc w:val="center"/>
            </w:pPr>
            <w:r>
              <w:t xml:space="preserve">00% </w:t>
            </w:r>
          </w:p>
        </w:tc>
      </w:tr>
      <w:tr w:rsidR="00E44FD5">
        <w:trPr>
          <w:trHeight w:val="293"/>
        </w:trPr>
        <w:tc>
          <w:tcPr>
            <w:tcW w:w="180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0" w:firstLine="0"/>
              <w:jc w:val="center"/>
            </w:pPr>
            <w:r>
              <w:t xml:space="preserve">College </w:t>
            </w:r>
          </w:p>
        </w:tc>
        <w:tc>
          <w:tcPr>
            <w:tcW w:w="180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6" w:firstLine="0"/>
              <w:jc w:val="center"/>
            </w:pPr>
            <w:r>
              <w:t xml:space="preserve">03 </w:t>
            </w:r>
          </w:p>
        </w:tc>
        <w:tc>
          <w:tcPr>
            <w:tcW w:w="180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7" w:firstLine="0"/>
              <w:jc w:val="center"/>
            </w:pPr>
            <w:r>
              <w:t xml:space="preserve">10% </w:t>
            </w:r>
          </w:p>
        </w:tc>
        <w:tc>
          <w:tcPr>
            <w:tcW w:w="1802"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9" w:firstLine="0"/>
              <w:jc w:val="center"/>
            </w:pPr>
            <w:r>
              <w:t xml:space="preserve">00 </w:t>
            </w:r>
          </w:p>
        </w:tc>
        <w:tc>
          <w:tcPr>
            <w:tcW w:w="1843"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7" w:firstLine="0"/>
              <w:jc w:val="center"/>
            </w:pPr>
            <w:r>
              <w:t xml:space="preserve">00% </w:t>
            </w:r>
          </w:p>
        </w:tc>
      </w:tr>
      <w:tr w:rsidR="00E44FD5">
        <w:trPr>
          <w:trHeight w:val="293"/>
        </w:trPr>
        <w:tc>
          <w:tcPr>
            <w:tcW w:w="180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0" w:firstLine="0"/>
              <w:jc w:val="center"/>
            </w:pPr>
            <w:proofErr w:type="spellStart"/>
            <w:r>
              <w:t>Madrasha</w:t>
            </w:r>
            <w:proofErr w:type="spellEnd"/>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6" w:firstLine="0"/>
              <w:jc w:val="center"/>
            </w:pPr>
            <w:r>
              <w:t xml:space="preserve">04 </w:t>
            </w:r>
          </w:p>
        </w:tc>
        <w:tc>
          <w:tcPr>
            <w:tcW w:w="180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5" w:firstLine="0"/>
              <w:jc w:val="center"/>
            </w:pPr>
            <w:r>
              <w:t xml:space="preserve">13.33% </w:t>
            </w:r>
          </w:p>
        </w:tc>
        <w:tc>
          <w:tcPr>
            <w:tcW w:w="1802"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9" w:firstLine="0"/>
              <w:jc w:val="center"/>
            </w:pPr>
            <w:r>
              <w:t xml:space="preserve">2 </w:t>
            </w:r>
          </w:p>
        </w:tc>
        <w:tc>
          <w:tcPr>
            <w:tcW w:w="1843"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5" w:firstLine="0"/>
              <w:jc w:val="center"/>
            </w:pPr>
            <w:r>
              <w:t xml:space="preserve">6.67% </w:t>
            </w:r>
          </w:p>
        </w:tc>
      </w:tr>
      <w:tr w:rsidR="00E44FD5">
        <w:trPr>
          <w:trHeight w:val="293"/>
        </w:trPr>
        <w:tc>
          <w:tcPr>
            <w:tcW w:w="180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9" w:firstLine="0"/>
              <w:jc w:val="center"/>
            </w:pPr>
            <w:r>
              <w:t xml:space="preserve">Club </w:t>
            </w:r>
          </w:p>
        </w:tc>
        <w:tc>
          <w:tcPr>
            <w:tcW w:w="180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6" w:firstLine="0"/>
              <w:jc w:val="center"/>
            </w:pPr>
            <w:r>
              <w:t xml:space="preserve">05 </w:t>
            </w:r>
          </w:p>
        </w:tc>
        <w:tc>
          <w:tcPr>
            <w:tcW w:w="180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5" w:firstLine="0"/>
              <w:jc w:val="center"/>
            </w:pPr>
            <w:r>
              <w:t xml:space="preserve">16.67% </w:t>
            </w:r>
          </w:p>
        </w:tc>
        <w:tc>
          <w:tcPr>
            <w:tcW w:w="1802"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9" w:firstLine="0"/>
              <w:jc w:val="center"/>
            </w:pPr>
            <w:r>
              <w:t xml:space="preserve">3 </w:t>
            </w:r>
          </w:p>
        </w:tc>
        <w:tc>
          <w:tcPr>
            <w:tcW w:w="1843"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7" w:firstLine="0"/>
              <w:jc w:val="center"/>
            </w:pPr>
            <w:r>
              <w:t xml:space="preserve">10% </w:t>
            </w:r>
          </w:p>
        </w:tc>
      </w:tr>
      <w:tr w:rsidR="00E44FD5">
        <w:trPr>
          <w:trHeight w:val="293"/>
        </w:trPr>
        <w:tc>
          <w:tcPr>
            <w:tcW w:w="180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0" w:firstLine="0"/>
              <w:jc w:val="center"/>
            </w:pPr>
            <w:r>
              <w:t xml:space="preserve">Mosque </w:t>
            </w:r>
          </w:p>
        </w:tc>
        <w:tc>
          <w:tcPr>
            <w:tcW w:w="180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6" w:firstLine="0"/>
              <w:jc w:val="center"/>
            </w:pPr>
            <w:r>
              <w:t xml:space="preserve">7 </w:t>
            </w:r>
          </w:p>
        </w:tc>
        <w:tc>
          <w:tcPr>
            <w:tcW w:w="180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5" w:firstLine="0"/>
              <w:jc w:val="center"/>
            </w:pPr>
            <w:r>
              <w:t xml:space="preserve">23.33% </w:t>
            </w:r>
          </w:p>
        </w:tc>
        <w:tc>
          <w:tcPr>
            <w:tcW w:w="1802"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9" w:firstLine="0"/>
              <w:jc w:val="center"/>
            </w:pPr>
            <w:r>
              <w:t xml:space="preserve">00 </w:t>
            </w:r>
          </w:p>
        </w:tc>
        <w:tc>
          <w:tcPr>
            <w:tcW w:w="1843"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7" w:firstLine="0"/>
              <w:jc w:val="center"/>
            </w:pPr>
            <w:r>
              <w:t xml:space="preserve">00% </w:t>
            </w:r>
          </w:p>
        </w:tc>
      </w:tr>
      <w:tr w:rsidR="00E44FD5">
        <w:trPr>
          <w:trHeight w:val="293"/>
        </w:trPr>
        <w:tc>
          <w:tcPr>
            <w:tcW w:w="180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9" w:firstLine="0"/>
              <w:jc w:val="center"/>
            </w:pPr>
            <w:r>
              <w:t xml:space="preserve">Not involved </w:t>
            </w:r>
          </w:p>
        </w:tc>
        <w:tc>
          <w:tcPr>
            <w:tcW w:w="180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6" w:firstLine="0"/>
              <w:jc w:val="center"/>
            </w:pPr>
            <w:r>
              <w:t xml:space="preserve">2 </w:t>
            </w:r>
          </w:p>
        </w:tc>
        <w:tc>
          <w:tcPr>
            <w:tcW w:w="180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5" w:firstLine="0"/>
              <w:jc w:val="center"/>
            </w:pPr>
            <w:r>
              <w:t xml:space="preserve">6.66% </w:t>
            </w:r>
          </w:p>
        </w:tc>
        <w:tc>
          <w:tcPr>
            <w:tcW w:w="1802"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9" w:firstLine="0"/>
              <w:jc w:val="center"/>
            </w:pPr>
            <w:r>
              <w:t xml:space="preserve">23 </w:t>
            </w:r>
          </w:p>
        </w:tc>
        <w:tc>
          <w:tcPr>
            <w:tcW w:w="1843"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5" w:firstLine="0"/>
              <w:jc w:val="center"/>
            </w:pPr>
            <w:r>
              <w:t xml:space="preserve">76.67% </w:t>
            </w:r>
          </w:p>
        </w:tc>
      </w:tr>
      <w:tr w:rsidR="00E44FD5">
        <w:trPr>
          <w:trHeight w:val="252"/>
        </w:trPr>
        <w:tc>
          <w:tcPr>
            <w:tcW w:w="180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130" w:right="0" w:firstLine="0"/>
              <w:jc w:val="left"/>
            </w:pPr>
            <w:r>
              <w:t xml:space="preserve">Total Respondent </w:t>
            </w:r>
          </w:p>
        </w:tc>
        <w:tc>
          <w:tcPr>
            <w:tcW w:w="180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6" w:firstLine="0"/>
              <w:jc w:val="center"/>
            </w:pPr>
            <w:r>
              <w:t xml:space="preserve">30 </w:t>
            </w:r>
          </w:p>
        </w:tc>
        <w:tc>
          <w:tcPr>
            <w:tcW w:w="180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2" w:firstLine="0"/>
              <w:jc w:val="center"/>
            </w:pPr>
            <w:r>
              <w:t xml:space="preserve">100% </w:t>
            </w:r>
          </w:p>
        </w:tc>
        <w:tc>
          <w:tcPr>
            <w:tcW w:w="1802"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9" w:firstLine="0"/>
              <w:jc w:val="center"/>
            </w:pPr>
            <w:r>
              <w:t xml:space="preserve">30 </w:t>
            </w:r>
          </w:p>
        </w:tc>
        <w:tc>
          <w:tcPr>
            <w:tcW w:w="1843"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2" w:firstLine="0"/>
              <w:jc w:val="center"/>
            </w:pPr>
            <w:r>
              <w:t>100%</w:t>
            </w:r>
            <w:r>
              <w:rPr>
                <w:b/>
              </w:rPr>
              <w:t xml:space="preserve"> </w:t>
            </w:r>
          </w:p>
        </w:tc>
      </w:tr>
    </w:tbl>
    <w:p w:rsidR="00E44FD5" w:rsidRDefault="0038505C">
      <w:pPr>
        <w:ind w:left="-5" w:right="0"/>
      </w:pPr>
      <w:r>
        <w:t xml:space="preserve">The table 10.1 shows that only 23.34% illiterate respondents having social leadership in various organizations on the other hand 93.34% literate respondents </w:t>
      </w:r>
      <w:proofErr w:type="gramStart"/>
      <w:r>
        <w:t>having involvement</w:t>
      </w:r>
      <w:proofErr w:type="gramEnd"/>
      <w:r>
        <w:t xml:space="preserve"> in social organizations under the study. So, it may be declared that the formal </w:t>
      </w:r>
      <w:r>
        <w:t xml:space="preserve">education has a positive effect on the society.  </w:t>
      </w:r>
    </w:p>
    <w:p w:rsidR="00E44FD5" w:rsidRDefault="0038505C">
      <w:pPr>
        <w:spacing w:after="177" w:line="259" w:lineRule="auto"/>
        <w:ind w:left="-5" w:right="0"/>
        <w:jc w:val="left"/>
      </w:pPr>
      <w:r>
        <w:rPr>
          <w:b/>
          <w:i/>
        </w:rPr>
        <w:t xml:space="preserve">10.2 Education of Wives of the Respondents </w:t>
      </w:r>
    </w:p>
    <w:p w:rsidR="00E44FD5" w:rsidRDefault="0038505C">
      <w:pPr>
        <w:ind w:left="-5" w:right="0"/>
      </w:pPr>
      <w:r>
        <w:t xml:space="preserve">The academic qualification of wives of both types of respondents has been given in the following table.   </w:t>
      </w:r>
    </w:p>
    <w:p w:rsidR="00E44FD5" w:rsidRDefault="0038505C">
      <w:pPr>
        <w:pStyle w:val="Heading1"/>
        <w:ind w:left="-5"/>
      </w:pPr>
      <w:r>
        <w:t>Table—10.2 Education Levels of Wives of the Respondents</w:t>
      </w:r>
      <w:r>
        <w:t xml:space="preserve"> </w:t>
      </w:r>
    </w:p>
    <w:tbl>
      <w:tblPr>
        <w:tblStyle w:val="TableGrid"/>
        <w:tblW w:w="9046" w:type="dxa"/>
        <w:tblInd w:w="0" w:type="dxa"/>
        <w:tblCellMar>
          <w:top w:w="49" w:type="dxa"/>
          <w:left w:w="43" w:type="dxa"/>
          <w:bottom w:w="0" w:type="dxa"/>
          <w:right w:w="0" w:type="dxa"/>
        </w:tblCellMar>
        <w:tblLook w:val="04A0" w:firstRow="1" w:lastRow="0" w:firstColumn="1" w:lastColumn="0" w:noHBand="0" w:noVBand="1"/>
      </w:tblPr>
      <w:tblGrid>
        <w:gridCol w:w="2340"/>
        <w:gridCol w:w="1810"/>
        <w:gridCol w:w="1277"/>
        <w:gridCol w:w="1836"/>
        <w:gridCol w:w="1783"/>
      </w:tblGrid>
      <w:tr w:rsidR="00E44FD5">
        <w:trPr>
          <w:trHeight w:val="514"/>
        </w:trPr>
        <w:tc>
          <w:tcPr>
            <w:tcW w:w="234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4" w:firstLine="0"/>
              <w:jc w:val="center"/>
            </w:pPr>
            <w:r>
              <w:t>Level of Education</w:t>
            </w:r>
            <w:r>
              <w:rPr>
                <w:b/>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0" w:firstLine="0"/>
              <w:jc w:val="center"/>
            </w:pPr>
            <w:r>
              <w:t>Number of Wives of Literate Respondents</w:t>
            </w: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6" w:firstLine="0"/>
              <w:jc w:val="center"/>
            </w:pPr>
            <w:r>
              <w:t>Percentage</w:t>
            </w:r>
            <w:r>
              <w:rPr>
                <w:b/>
              </w:rPr>
              <w:t xml:space="preserve"> </w:t>
            </w:r>
          </w:p>
        </w:tc>
        <w:tc>
          <w:tcPr>
            <w:tcW w:w="1836"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0" w:firstLine="0"/>
              <w:jc w:val="center"/>
            </w:pPr>
            <w:r>
              <w:t>Number of Wives of Illiterate Respondents</w:t>
            </w:r>
            <w:r>
              <w:rPr>
                <w:b/>
              </w:rPr>
              <w:t xml:space="preserve"> </w:t>
            </w:r>
          </w:p>
        </w:tc>
        <w:tc>
          <w:tcPr>
            <w:tcW w:w="1783"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8" w:firstLine="0"/>
              <w:jc w:val="center"/>
            </w:pPr>
            <w:r>
              <w:t>Percentage</w:t>
            </w:r>
            <w:r>
              <w:rPr>
                <w:b/>
              </w:rPr>
              <w:t xml:space="preserve"> </w:t>
            </w:r>
          </w:p>
        </w:tc>
      </w:tr>
      <w:tr w:rsidR="00E44FD5">
        <w:trPr>
          <w:trHeight w:val="314"/>
        </w:trPr>
        <w:tc>
          <w:tcPr>
            <w:tcW w:w="234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right="0" w:firstLine="0"/>
            </w:pPr>
            <w:r>
              <w:t>M.A/ M.</w:t>
            </w:r>
            <w:proofErr w:type="gramStart"/>
            <w:r>
              <w:t>S.S</w:t>
            </w:r>
            <w:proofErr w:type="gramEnd"/>
            <w:r>
              <w:t>/</w:t>
            </w:r>
            <w:proofErr w:type="spellStart"/>
            <w:r>
              <w:t>M.Sc</w:t>
            </w:r>
            <w:proofErr w:type="spellEnd"/>
            <w:r>
              <w:t>/ M. Com</w:t>
            </w:r>
            <w:r>
              <w:t xml:space="preserve"> </w:t>
            </w:r>
          </w:p>
        </w:tc>
        <w:tc>
          <w:tcPr>
            <w:tcW w:w="181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4" w:firstLine="0"/>
              <w:jc w:val="center"/>
            </w:pPr>
            <w: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8" w:firstLine="0"/>
              <w:jc w:val="center"/>
            </w:pPr>
            <w:r>
              <w:t xml:space="preserve">6.66% </w:t>
            </w:r>
          </w:p>
        </w:tc>
        <w:tc>
          <w:tcPr>
            <w:tcW w:w="1836"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2" w:firstLine="0"/>
              <w:jc w:val="center"/>
            </w:pPr>
            <w:r>
              <w:t xml:space="preserve">00 </w:t>
            </w:r>
          </w:p>
        </w:tc>
        <w:tc>
          <w:tcPr>
            <w:tcW w:w="1783"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3" w:firstLine="0"/>
              <w:jc w:val="center"/>
            </w:pPr>
            <w:r>
              <w:t xml:space="preserve">00% </w:t>
            </w:r>
          </w:p>
        </w:tc>
      </w:tr>
      <w:tr w:rsidR="00E44FD5">
        <w:trPr>
          <w:trHeight w:val="252"/>
        </w:trPr>
        <w:tc>
          <w:tcPr>
            <w:tcW w:w="234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98" w:right="0" w:firstLine="0"/>
              <w:jc w:val="left"/>
            </w:pPr>
            <w:proofErr w:type="gramStart"/>
            <w:r>
              <w:t>B.A</w:t>
            </w:r>
            <w:proofErr w:type="gramEnd"/>
            <w:r>
              <w:t xml:space="preserve">/ B.S.S/ B. Sc/B.Com </w:t>
            </w:r>
          </w:p>
        </w:tc>
        <w:tc>
          <w:tcPr>
            <w:tcW w:w="181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4" w:firstLine="0"/>
              <w:jc w:val="center"/>
            </w:pPr>
            <w:r>
              <w:t xml:space="preserve">4 </w:t>
            </w:r>
          </w:p>
        </w:tc>
        <w:tc>
          <w:tcPr>
            <w:tcW w:w="127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8" w:firstLine="0"/>
              <w:jc w:val="center"/>
            </w:pPr>
            <w:r>
              <w:t xml:space="preserve">13.33% </w:t>
            </w:r>
          </w:p>
        </w:tc>
        <w:tc>
          <w:tcPr>
            <w:tcW w:w="1836"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2" w:firstLine="0"/>
              <w:jc w:val="center"/>
            </w:pPr>
            <w:r>
              <w:t xml:space="preserve">00 </w:t>
            </w:r>
          </w:p>
        </w:tc>
        <w:tc>
          <w:tcPr>
            <w:tcW w:w="1783"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3" w:firstLine="0"/>
              <w:jc w:val="center"/>
            </w:pPr>
            <w:r>
              <w:t xml:space="preserve">00% </w:t>
            </w:r>
          </w:p>
        </w:tc>
      </w:tr>
      <w:tr w:rsidR="00E44FD5">
        <w:trPr>
          <w:trHeight w:val="252"/>
        </w:trPr>
        <w:tc>
          <w:tcPr>
            <w:tcW w:w="234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7" w:firstLine="0"/>
              <w:jc w:val="center"/>
            </w:pPr>
            <w:r>
              <w:t xml:space="preserve">H.S.C </w:t>
            </w:r>
          </w:p>
        </w:tc>
        <w:tc>
          <w:tcPr>
            <w:tcW w:w="181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4" w:firstLine="0"/>
              <w:jc w:val="center"/>
            </w:pPr>
            <w:r>
              <w:t xml:space="preserve">6 </w:t>
            </w:r>
          </w:p>
        </w:tc>
        <w:tc>
          <w:tcPr>
            <w:tcW w:w="127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1" w:firstLine="0"/>
              <w:jc w:val="center"/>
            </w:pPr>
            <w:r>
              <w:t xml:space="preserve">20% </w:t>
            </w:r>
          </w:p>
        </w:tc>
        <w:tc>
          <w:tcPr>
            <w:tcW w:w="1836"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2" w:firstLine="0"/>
              <w:jc w:val="center"/>
            </w:pPr>
            <w:r>
              <w:t xml:space="preserve">00 </w:t>
            </w:r>
          </w:p>
        </w:tc>
        <w:tc>
          <w:tcPr>
            <w:tcW w:w="1783"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3" w:firstLine="0"/>
              <w:jc w:val="center"/>
            </w:pPr>
            <w:r>
              <w:t xml:space="preserve">00% </w:t>
            </w:r>
          </w:p>
        </w:tc>
      </w:tr>
      <w:tr w:rsidR="00E44FD5">
        <w:trPr>
          <w:trHeight w:val="269"/>
        </w:trPr>
        <w:tc>
          <w:tcPr>
            <w:tcW w:w="234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7" w:firstLine="0"/>
              <w:jc w:val="center"/>
            </w:pPr>
            <w:r>
              <w:t xml:space="preserve">S.S.C </w:t>
            </w:r>
          </w:p>
        </w:tc>
        <w:tc>
          <w:tcPr>
            <w:tcW w:w="181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4" w:firstLine="0"/>
              <w:jc w:val="center"/>
            </w:pPr>
            <w:r>
              <w:t xml:space="preserve">8 </w:t>
            </w:r>
          </w:p>
        </w:tc>
        <w:tc>
          <w:tcPr>
            <w:tcW w:w="127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8" w:firstLine="0"/>
              <w:jc w:val="center"/>
            </w:pPr>
            <w:r>
              <w:t xml:space="preserve">26.67% </w:t>
            </w:r>
          </w:p>
        </w:tc>
        <w:tc>
          <w:tcPr>
            <w:tcW w:w="1836"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7" w:firstLine="0"/>
              <w:jc w:val="center"/>
            </w:pPr>
            <w:r>
              <w:t xml:space="preserve">3 </w:t>
            </w:r>
          </w:p>
        </w:tc>
        <w:tc>
          <w:tcPr>
            <w:tcW w:w="1783"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3" w:firstLine="0"/>
              <w:jc w:val="center"/>
            </w:pPr>
            <w:r>
              <w:t xml:space="preserve">10% </w:t>
            </w:r>
          </w:p>
        </w:tc>
      </w:tr>
      <w:tr w:rsidR="00E44FD5">
        <w:trPr>
          <w:trHeight w:val="271"/>
        </w:trPr>
        <w:tc>
          <w:tcPr>
            <w:tcW w:w="234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7" w:firstLine="0"/>
              <w:jc w:val="center"/>
            </w:pPr>
            <w:r>
              <w:t xml:space="preserve">Below S.S.C </w:t>
            </w:r>
          </w:p>
        </w:tc>
        <w:tc>
          <w:tcPr>
            <w:tcW w:w="181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4" w:firstLine="0"/>
              <w:jc w:val="center"/>
            </w:pPr>
            <w:r>
              <w:t xml:space="preserve">10 </w:t>
            </w:r>
          </w:p>
        </w:tc>
        <w:tc>
          <w:tcPr>
            <w:tcW w:w="127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8" w:firstLine="0"/>
              <w:jc w:val="center"/>
            </w:pPr>
            <w:r>
              <w:t xml:space="preserve">33.33% </w:t>
            </w:r>
          </w:p>
        </w:tc>
        <w:tc>
          <w:tcPr>
            <w:tcW w:w="1836"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2" w:firstLine="0"/>
              <w:jc w:val="center"/>
            </w:pPr>
            <w:r>
              <w:t xml:space="preserve">27 </w:t>
            </w:r>
          </w:p>
        </w:tc>
        <w:tc>
          <w:tcPr>
            <w:tcW w:w="1783"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3" w:firstLine="0"/>
              <w:jc w:val="center"/>
            </w:pPr>
            <w:r>
              <w:t xml:space="preserve">90% </w:t>
            </w:r>
          </w:p>
        </w:tc>
      </w:tr>
      <w:tr w:rsidR="00E44FD5">
        <w:trPr>
          <w:trHeight w:val="262"/>
        </w:trPr>
        <w:tc>
          <w:tcPr>
            <w:tcW w:w="234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3" w:firstLine="0"/>
              <w:jc w:val="center"/>
            </w:pPr>
            <w:r>
              <w:t xml:space="preserve"> Total </w:t>
            </w:r>
          </w:p>
        </w:tc>
        <w:tc>
          <w:tcPr>
            <w:tcW w:w="181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4" w:firstLine="0"/>
              <w:jc w:val="center"/>
            </w:pPr>
            <w:r>
              <w:t xml:space="preserve">30 </w:t>
            </w:r>
          </w:p>
        </w:tc>
        <w:tc>
          <w:tcPr>
            <w:tcW w:w="127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1" w:firstLine="0"/>
              <w:jc w:val="center"/>
            </w:pPr>
            <w:r>
              <w:t xml:space="preserve">100% </w:t>
            </w:r>
          </w:p>
        </w:tc>
        <w:tc>
          <w:tcPr>
            <w:tcW w:w="1836"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2" w:firstLine="0"/>
              <w:jc w:val="center"/>
            </w:pPr>
            <w:r>
              <w:t xml:space="preserve">30 </w:t>
            </w:r>
          </w:p>
        </w:tc>
        <w:tc>
          <w:tcPr>
            <w:tcW w:w="1783"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3" w:firstLine="0"/>
              <w:jc w:val="center"/>
            </w:pPr>
            <w:r>
              <w:t xml:space="preserve">100% </w:t>
            </w:r>
          </w:p>
        </w:tc>
      </w:tr>
    </w:tbl>
    <w:p w:rsidR="00E44FD5" w:rsidRDefault="0038505C">
      <w:pPr>
        <w:ind w:left="-5" w:right="0"/>
      </w:pPr>
      <w:r>
        <w:t xml:space="preserve">The table 10.2 shows that only 10% wives of the illiterate respondents having the S.S.C level of education whereas 90% wives of the literate respondents having S.S.C, H.S.C, Degree and </w:t>
      </w:r>
      <w:proofErr w:type="spellStart"/>
      <w:r>
        <w:t>Masters</w:t>
      </w:r>
      <w:proofErr w:type="spellEnd"/>
      <w:r>
        <w:t xml:space="preserve"> Degree level of education. </w:t>
      </w:r>
    </w:p>
    <w:p w:rsidR="00E44FD5" w:rsidRDefault="0038505C">
      <w:pPr>
        <w:pStyle w:val="Heading2"/>
        <w:ind w:left="-5"/>
      </w:pPr>
      <w:r>
        <w:t>10.3 Health Conditions of Responden</w:t>
      </w:r>
      <w:r>
        <w:t xml:space="preserve">ts  </w:t>
      </w:r>
    </w:p>
    <w:p w:rsidR="00E44FD5" w:rsidRDefault="0038505C">
      <w:pPr>
        <w:ind w:left="-5" w:right="0"/>
      </w:pPr>
      <w:r>
        <w:t>It is said that health is wealth. Health is also a basic component of human welfare. Serious health problems cause individual suffering and create psychological and material burdens for families and societies. Traditionally, economic development has b</w:t>
      </w:r>
      <w:r>
        <w:t>een studied as a factor affecting public health. Economists have recently demonstrated that a healthy population, with low mortality among children and adults and a reasonably high birthrate, will in the long run contain enough middle-aged adults to promot</w:t>
      </w:r>
      <w:r>
        <w:t xml:space="preserve">e economic growth. The table below has been given to show the health condition of the respondents. </w:t>
      </w:r>
    </w:p>
    <w:p w:rsidR="00E44FD5" w:rsidRDefault="0038505C">
      <w:pPr>
        <w:pStyle w:val="Heading1"/>
        <w:ind w:left="-5"/>
      </w:pPr>
      <w:r>
        <w:t xml:space="preserve">Table—10.3 Health Conditions of the Respondents </w:t>
      </w:r>
    </w:p>
    <w:tbl>
      <w:tblPr>
        <w:tblStyle w:val="TableGrid"/>
        <w:tblW w:w="9062" w:type="dxa"/>
        <w:tblInd w:w="0" w:type="dxa"/>
        <w:tblCellMar>
          <w:top w:w="49" w:type="dxa"/>
          <w:left w:w="41" w:type="dxa"/>
          <w:bottom w:w="0" w:type="dxa"/>
          <w:right w:w="0" w:type="dxa"/>
        </w:tblCellMar>
        <w:tblLook w:val="04A0" w:firstRow="1" w:lastRow="0" w:firstColumn="1" w:lastColumn="0" w:noHBand="0" w:noVBand="1"/>
      </w:tblPr>
      <w:tblGrid>
        <w:gridCol w:w="1962"/>
        <w:gridCol w:w="1267"/>
        <w:gridCol w:w="1440"/>
        <w:gridCol w:w="1373"/>
        <w:gridCol w:w="1510"/>
        <w:gridCol w:w="1510"/>
      </w:tblGrid>
      <w:tr w:rsidR="00E44FD5">
        <w:trPr>
          <w:trHeight w:val="317"/>
        </w:trPr>
        <w:tc>
          <w:tcPr>
            <w:tcW w:w="1963"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125" w:right="0" w:firstLine="0"/>
              <w:jc w:val="left"/>
            </w:pPr>
            <w:r>
              <w:t xml:space="preserve">Type of respondents </w:t>
            </w:r>
          </w:p>
        </w:tc>
        <w:tc>
          <w:tcPr>
            <w:tcW w:w="126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79" w:right="0" w:firstLine="0"/>
              <w:jc w:val="left"/>
            </w:pPr>
            <w:r>
              <w:t xml:space="preserve">Good Health </w:t>
            </w:r>
          </w:p>
        </w:tc>
        <w:tc>
          <w:tcPr>
            <w:tcW w:w="144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4" w:firstLine="0"/>
              <w:jc w:val="center"/>
            </w:pPr>
            <w:r>
              <w:t xml:space="preserve">Percentage </w:t>
            </w:r>
          </w:p>
        </w:tc>
        <w:tc>
          <w:tcPr>
            <w:tcW w:w="1373"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4" w:firstLine="0"/>
              <w:jc w:val="center"/>
            </w:pPr>
            <w:r>
              <w:t xml:space="preserve">Ill health </w:t>
            </w:r>
          </w:p>
        </w:tc>
        <w:tc>
          <w:tcPr>
            <w:tcW w:w="151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6" w:firstLine="0"/>
              <w:jc w:val="center"/>
            </w:pPr>
            <w:r>
              <w:t xml:space="preserve">Percentage </w:t>
            </w:r>
          </w:p>
        </w:tc>
        <w:tc>
          <w:tcPr>
            <w:tcW w:w="151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0" w:firstLine="0"/>
            </w:pPr>
            <w:r>
              <w:t>Total respondents</w:t>
            </w:r>
            <w:r>
              <w:t xml:space="preserve"> </w:t>
            </w:r>
          </w:p>
        </w:tc>
      </w:tr>
      <w:tr w:rsidR="00E44FD5">
        <w:trPr>
          <w:trHeight w:val="269"/>
        </w:trPr>
        <w:tc>
          <w:tcPr>
            <w:tcW w:w="1963"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94" w:right="0" w:firstLine="0"/>
              <w:jc w:val="left"/>
            </w:pPr>
            <w:r>
              <w:t xml:space="preserve">Literate Respondents </w:t>
            </w:r>
          </w:p>
        </w:tc>
        <w:tc>
          <w:tcPr>
            <w:tcW w:w="126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7" w:firstLine="0"/>
              <w:jc w:val="center"/>
            </w:pPr>
            <w:r>
              <w:t xml:space="preserve">25 </w:t>
            </w:r>
          </w:p>
        </w:tc>
        <w:tc>
          <w:tcPr>
            <w:tcW w:w="144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1" w:firstLine="0"/>
              <w:jc w:val="center"/>
            </w:pPr>
            <w:r>
              <w:t xml:space="preserve">83.33% </w:t>
            </w:r>
          </w:p>
        </w:tc>
        <w:tc>
          <w:tcPr>
            <w:tcW w:w="1373"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7" w:firstLine="0"/>
              <w:jc w:val="center"/>
            </w:pPr>
            <w:r>
              <w:t xml:space="preserve">7 </w:t>
            </w:r>
          </w:p>
        </w:tc>
        <w:tc>
          <w:tcPr>
            <w:tcW w:w="151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8" w:firstLine="0"/>
              <w:jc w:val="center"/>
            </w:pPr>
            <w:r>
              <w:t xml:space="preserve">23.33% </w:t>
            </w:r>
          </w:p>
        </w:tc>
        <w:tc>
          <w:tcPr>
            <w:tcW w:w="151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8" w:firstLine="0"/>
              <w:jc w:val="center"/>
            </w:pPr>
            <w:r>
              <w:t xml:space="preserve">30    100% </w:t>
            </w:r>
          </w:p>
        </w:tc>
      </w:tr>
      <w:tr w:rsidR="00E44FD5">
        <w:trPr>
          <w:trHeight w:val="288"/>
        </w:trPr>
        <w:tc>
          <w:tcPr>
            <w:tcW w:w="1963"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65" w:right="0" w:firstLine="0"/>
              <w:jc w:val="left"/>
            </w:pPr>
            <w:r>
              <w:t xml:space="preserve">Illiterate Respondents </w:t>
            </w:r>
          </w:p>
        </w:tc>
        <w:tc>
          <w:tcPr>
            <w:tcW w:w="126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2" w:firstLine="0"/>
              <w:jc w:val="center"/>
            </w:pPr>
            <w:r>
              <w:t xml:space="preserve">5 </w:t>
            </w:r>
          </w:p>
        </w:tc>
        <w:tc>
          <w:tcPr>
            <w:tcW w:w="144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1" w:firstLine="0"/>
              <w:jc w:val="center"/>
            </w:pPr>
            <w:r>
              <w:t xml:space="preserve">16.67.33% </w:t>
            </w:r>
          </w:p>
        </w:tc>
        <w:tc>
          <w:tcPr>
            <w:tcW w:w="1373"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2" w:firstLine="0"/>
              <w:jc w:val="center"/>
            </w:pPr>
            <w:r>
              <w:t xml:space="preserve">23 </w:t>
            </w:r>
          </w:p>
        </w:tc>
        <w:tc>
          <w:tcPr>
            <w:tcW w:w="151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8" w:firstLine="0"/>
              <w:jc w:val="center"/>
            </w:pPr>
            <w:r>
              <w:t xml:space="preserve">76.67% </w:t>
            </w:r>
          </w:p>
        </w:tc>
        <w:tc>
          <w:tcPr>
            <w:tcW w:w="151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8" w:firstLine="0"/>
              <w:jc w:val="center"/>
            </w:pPr>
            <w:r>
              <w:t xml:space="preserve">30    100% </w:t>
            </w:r>
          </w:p>
        </w:tc>
      </w:tr>
    </w:tbl>
    <w:p w:rsidR="00E44FD5" w:rsidRDefault="0038505C">
      <w:pPr>
        <w:ind w:left="-5" w:right="0"/>
      </w:pPr>
      <w:r>
        <w:t xml:space="preserve">The table 10.3 shows that 83.33% literate respondents having good health and 16.67% having ill health on the other hand 23.33% and 76.67% of the illiterate respondents respectively. So, it may be said that formal education has a positive effect on health. </w:t>
      </w:r>
      <w:r>
        <w:t xml:space="preserve">Good health refers to the sound condition of the body. </w:t>
      </w:r>
    </w:p>
    <w:p w:rsidR="00E44FD5" w:rsidRDefault="0038505C">
      <w:pPr>
        <w:ind w:left="-5" w:right="0"/>
      </w:pPr>
      <w:r>
        <w:t xml:space="preserve">On the other </w:t>
      </w:r>
      <w:proofErr w:type="gramStart"/>
      <w:r>
        <w:t>hand</w:t>
      </w:r>
      <w:proofErr w:type="gramEnd"/>
      <w:r>
        <w:t xml:space="preserve"> ill health refers to the sickness of the respondents. Ill health also refers to the respondents who are suffering b various diseases.    </w:t>
      </w:r>
    </w:p>
    <w:p w:rsidR="00E44FD5" w:rsidRDefault="0038505C">
      <w:pPr>
        <w:spacing w:after="183" w:line="259" w:lineRule="auto"/>
        <w:ind w:left="0" w:right="0" w:firstLine="0"/>
        <w:jc w:val="left"/>
      </w:pPr>
      <w:r>
        <w:rPr>
          <w:b/>
          <w:i/>
        </w:rPr>
        <w:t xml:space="preserve"> </w:t>
      </w:r>
    </w:p>
    <w:p w:rsidR="00E44FD5" w:rsidRDefault="0038505C">
      <w:pPr>
        <w:pStyle w:val="Heading2"/>
        <w:ind w:left="-5"/>
      </w:pPr>
      <w:r>
        <w:t xml:space="preserve">10.4 Hygiene Conditions of the Respondents </w:t>
      </w:r>
    </w:p>
    <w:p w:rsidR="00E44FD5" w:rsidRDefault="0038505C">
      <w:pPr>
        <w:ind w:left="-5" w:right="0"/>
      </w:pPr>
      <w:r>
        <w:t xml:space="preserve">The word hygiene is commonly associated with cleanliness. A broad definition of hygiene behavior ‘Would’ include a wide range of behaviors that promote health, from wearing a seat-belt while driving and eating a </w:t>
      </w:r>
      <w:r>
        <w:t xml:space="preserve">healthy diet to washing hands after defection.  </w:t>
      </w:r>
    </w:p>
    <w:p w:rsidR="00E44FD5" w:rsidRDefault="0038505C">
      <w:pPr>
        <w:pStyle w:val="Heading1"/>
        <w:ind w:left="-5"/>
      </w:pPr>
      <w:r>
        <w:t xml:space="preserve">Table—10.4 Hygiene Conditions of the Respondents </w:t>
      </w:r>
    </w:p>
    <w:tbl>
      <w:tblPr>
        <w:tblStyle w:val="TableGrid"/>
        <w:tblW w:w="9062" w:type="dxa"/>
        <w:tblInd w:w="0" w:type="dxa"/>
        <w:tblCellMar>
          <w:top w:w="49" w:type="dxa"/>
          <w:left w:w="0" w:type="dxa"/>
          <w:bottom w:w="0" w:type="dxa"/>
          <w:right w:w="20" w:type="dxa"/>
        </w:tblCellMar>
        <w:tblLook w:val="04A0" w:firstRow="1" w:lastRow="0" w:firstColumn="1" w:lastColumn="0" w:noHBand="0" w:noVBand="1"/>
      </w:tblPr>
      <w:tblGrid>
        <w:gridCol w:w="1872"/>
        <w:gridCol w:w="1826"/>
        <w:gridCol w:w="1044"/>
        <w:gridCol w:w="2107"/>
        <w:gridCol w:w="900"/>
        <w:gridCol w:w="557"/>
        <w:gridCol w:w="756"/>
      </w:tblGrid>
      <w:tr w:rsidR="00E44FD5">
        <w:trPr>
          <w:trHeight w:val="698"/>
        </w:trPr>
        <w:tc>
          <w:tcPr>
            <w:tcW w:w="1872"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113" w:right="0" w:firstLine="0"/>
              <w:jc w:val="left"/>
            </w:pPr>
            <w:r>
              <w:t xml:space="preserve">Type of respondents </w:t>
            </w:r>
          </w:p>
        </w:tc>
        <w:tc>
          <w:tcPr>
            <w:tcW w:w="1826"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0" w:firstLine="0"/>
              <w:jc w:val="center"/>
            </w:pPr>
            <w:r>
              <w:t xml:space="preserve">No. of respondents having awareness of hygiene </w:t>
            </w:r>
          </w:p>
        </w:tc>
        <w:tc>
          <w:tcPr>
            <w:tcW w:w="1044"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74" w:right="0" w:firstLine="0"/>
            </w:pPr>
            <w:r>
              <w:t>Percentage</w:t>
            </w:r>
            <w:r>
              <w:t xml:space="preserve"> </w:t>
            </w:r>
          </w:p>
        </w:tc>
        <w:tc>
          <w:tcPr>
            <w:tcW w:w="210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0" w:firstLine="0"/>
              <w:jc w:val="center"/>
            </w:pPr>
            <w:r>
              <w:t xml:space="preserve">No. of respondents not having awareness of hygiene </w:t>
            </w:r>
          </w:p>
        </w:tc>
        <w:tc>
          <w:tcPr>
            <w:tcW w:w="90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2" w:right="0" w:firstLine="0"/>
            </w:pPr>
            <w:r>
              <w:t>Percentage</w:t>
            </w:r>
          </w:p>
        </w:tc>
        <w:tc>
          <w:tcPr>
            <w:tcW w:w="1313" w:type="dxa"/>
            <w:gridSpan w:val="2"/>
            <w:tcBorders>
              <w:top w:val="single" w:sz="4" w:space="0" w:color="000000"/>
              <w:left w:val="single" w:sz="4" w:space="0" w:color="000000"/>
              <w:bottom w:val="single" w:sz="4" w:space="0" w:color="000000"/>
              <w:right w:val="single" w:sz="4" w:space="0" w:color="000000"/>
            </w:tcBorders>
          </w:tcPr>
          <w:p w:rsidR="00E44FD5" w:rsidRDefault="0038505C">
            <w:pPr>
              <w:tabs>
                <w:tab w:val="center" w:pos="649"/>
              </w:tabs>
              <w:spacing w:after="0" w:line="259" w:lineRule="auto"/>
              <w:ind w:left="-19" w:right="0" w:firstLine="0"/>
              <w:jc w:val="left"/>
            </w:pPr>
            <w:r>
              <w:t xml:space="preserve"> </w:t>
            </w:r>
            <w:r>
              <w:tab/>
            </w:r>
            <w:r>
              <w:t xml:space="preserve">Total </w:t>
            </w:r>
          </w:p>
          <w:p w:rsidR="00E44FD5" w:rsidRDefault="0038505C">
            <w:pPr>
              <w:spacing w:after="0" w:line="259" w:lineRule="auto"/>
              <w:ind w:left="20" w:right="0" w:firstLine="0"/>
              <w:jc w:val="center"/>
            </w:pPr>
            <w:r>
              <w:t xml:space="preserve">respondents </w:t>
            </w:r>
          </w:p>
        </w:tc>
      </w:tr>
      <w:tr w:rsidR="00E44FD5">
        <w:trPr>
          <w:trHeight w:val="406"/>
        </w:trPr>
        <w:tc>
          <w:tcPr>
            <w:tcW w:w="1872"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82" w:right="0" w:firstLine="0"/>
            </w:pPr>
            <w:r>
              <w:t>Literate Respondents</w:t>
            </w:r>
            <w:r>
              <w:t xml:space="preserve"> </w:t>
            </w:r>
          </w:p>
        </w:tc>
        <w:tc>
          <w:tcPr>
            <w:tcW w:w="1826"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7" w:right="0" w:firstLine="0"/>
              <w:jc w:val="center"/>
            </w:pPr>
            <w:r>
              <w:t xml:space="preserve">23 </w:t>
            </w:r>
          </w:p>
        </w:tc>
        <w:tc>
          <w:tcPr>
            <w:tcW w:w="1044"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8" w:right="0" w:firstLine="0"/>
              <w:jc w:val="center"/>
            </w:pPr>
            <w:r>
              <w:t xml:space="preserve">76.67% </w:t>
            </w:r>
          </w:p>
        </w:tc>
        <w:tc>
          <w:tcPr>
            <w:tcW w:w="210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4" w:right="0" w:firstLine="0"/>
              <w:jc w:val="center"/>
            </w:pPr>
            <w:r>
              <w:t xml:space="preserve">4 </w:t>
            </w:r>
          </w:p>
        </w:tc>
        <w:tc>
          <w:tcPr>
            <w:tcW w:w="90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134" w:right="0" w:firstLine="0"/>
              <w:jc w:val="left"/>
            </w:pPr>
            <w:r>
              <w:t xml:space="preserve">13.33% </w:t>
            </w:r>
          </w:p>
        </w:tc>
        <w:tc>
          <w:tcPr>
            <w:tcW w:w="55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9" w:right="0" w:firstLine="0"/>
              <w:jc w:val="center"/>
            </w:pPr>
            <w:r>
              <w:t xml:space="preserve">30 </w:t>
            </w:r>
          </w:p>
        </w:tc>
        <w:tc>
          <w:tcPr>
            <w:tcW w:w="756"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137" w:right="0" w:firstLine="0"/>
              <w:jc w:val="left"/>
            </w:pPr>
            <w:r>
              <w:t xml:space="preserve">100% </w:t>
            </w:r>
          </w:p>
        </w:tc>
      </w:tr>
      <w:tr w:rsidR="00E44FD5">
        <w:trPr>
          <w:trHeight w:val="317"/>
        </w:trPr>
        <w:tc>
          <w:tcPr>
            <w:tcW w:w="1872"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53" w:right="0" w:firstLine="0"/>
            </w:pPr>
            <w:r>
              <w:t>Illiterate Respondents</w:t>
            </w:r>
            <w:r>
              <w:t xml:space="preserve"> </w:t>
            </w:r>
          </w:p>
        </w:tc>
        <w:tc>
          <w:tcPr>
            <w:tcW w:w="1826"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2" w:right="0" w:firstLine="0"/>
              <w:jc w:val="center"/>
            </w:pPr>
            <w:r>
              <w:t xml:space="preserve">7 </w:t>
            </w:r>
          </w:p>
        </w:tc>
        <w:tc>
          <w:tcPr>
            <w:tcW w:w="1044"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8" w:right="0" w:firstLine="0"/>
              <w:jc w:val="center"/>
            </w:pPr>
            <w:r>
              <w:t xml:space="preserve">23.33% </w:t>
            </w:r>
          </w:p>
        </w:tc>
        <w:tc>
          <w:tcPr>
            <w:tcW w:w="210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4" w:right="0" w:firstLine="0"/>
              <w:jc w:val="center"/>
            </w:pPr>
            <w:r>
              <w:t xml:space="preserve">26 </w:t>
            </w:r>
          </w:p>
        </w:tc>
        <w:tc>
          <w:tcPr>
            <w:tcW w:w="90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134" w:right="0" w:firstLine="0"/>
              <w:jc w:val="left"/>
            </w:pPr>
            <w:r>
              <w:t xml:space="preserve">86.67% </w:t>
            </w:r>
          </w:p>
        </w:tc>
        <w:tc>
          <w:tcPr>
            <w:tcW w:w="55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9" w:right="0" w:firstLine="0"/>
              <w:jc w:val="center"/>
            </w:pPr>
            <w:r>
              <w:t xml:space="preserve">30 </w:t>
            </w:r>
          </w:p>
        </w:tc>
        <w:tc>
          <w:tcPr>
            <w:tcW w:w="756"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137" w:right="0" w:firstLine="0"/>
              <w:jc w:val="left"/>
            </w:pPr>
            <w:r>
              <w:t xml:space="preserve">100% </w:t>
            </w:r>
          </w:p>
        </w:tc>
      </w:tr>
    </w:tbl>
    <w:p w:rsidR="00E44FD5" w:rsidRDefault="0038505C">
      <w:pPr>
        <w:ind w:left="-5" w:right="0"/>
      </w:pPr>
      <w:r>
        <w:t>The table 10.4 shows that 76.67% literate respondents having awareness on   cleanliness whereas 13.33% of illiterate respondents under the study. Respondents were asked ‘yes’ ‘no’ question on hygiene. Considering the answers, they are classified ‘conscious</w:t>
      </w:r>
      <w:r>
        <w:t xml:space="preserve">’ and ‘unconscious’ i.e. aware and not aware about hygiene. </w:t>
      </w:r>
    </w:p>
    <w:p w:rsidR="00E44FD5" w:rsidRDefault="0038505C">
      <w:pPr>
        <w:pStyle w:val="Heading2"/>
        <w:ind w:left="-5"/>
      </w:pPr>
      <w:r>
        <w:t xml:space="preserve">10.5 Sanitation Conditions of the Respondents </w:t>
      </w:r>
    </w:p>
    <w:p w:rsidR="00E44FD5" w:rsidRDefault="0038505C">
      <w:pPr>
        <w:ind w:left="-5" w:right="0"/>
      </w:pPr>
      <w:r>
        <w:t>Pure drinking water and use of sanitary latrine are considered as the sanitation in this study. How many respondents use sanitary latrines and drink</w:t>
      </w:r>
      <w:r>
        <w:t xml:space="preserve"> pure water from tube well has looked into account in the study. The situation of use of tube well for pure drinking water, situation of using sanitary latrines and washing hands after defections have been shown in the following table. </w:t>
      </w:r>
    </w:p>
    <w:p w:rsidR="00E44FD5" w:rsidRDefault="0038505C">
      <w:pPr>
        <w:pStyle w:val="Heading1"/>
        <w:ind w:left="-5"/>
      </w:pPr>
      <w:r>
        <w:t>Table—10.5 Sanitati</w:t>
      </w:r>
      <w:r>
        <w:t xml:space="preserve">on Conditions of the Respondents </w:t>
      </w:r>
    </w:p>
    <w:tbl>
      <w:tblPr>
        <w:tblStyle w:val="TableGrid"/>
        <w:tblW w:w="9091" w:type="dxa"/>
        <w:tblInd w:w="0" w:type="dxa"/>
        <w:tblCellMar>
          <w:top w:w="49" w:type="dxa"/>
          <w:left w:w="0" w:type="dxa"/>
          <w:bottom w:w="0" w:type="dxa"/>
          <w:right w:w="0" w:type="dxa"/>
        </w:tblCellMar>
        <w:tblLook w:val="04A0" w:firstRow="1" w:lastRow="0" w:firstColumn="1" w:lastColumn="0" w:noHBand="0" w:noVBand="1"/>
      </w:tblPr>
      <w:tblGrid>
        <w:gridCol w:w="1855"/>
        <w:gridCol w:w="1231"/>
        <w:gridCol w:w="1198"/>
        <w:gridCol w:w="972"/>
        <w:gridCol w:w="1250"/>
        <w:gridCol w:w="919"/>
        <w:gridCol w:w="1666"/>
      </w:tblGrid>
      <w:tr w:rsidR="00E44FD5">
        <w:trPr>
          <w:trHeight w:val="523"/>
        </w:trPr>
        <w:tc>
          <w:tcPr>
            <w:tcW w:w="1855"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91" w:right="0" w:firstLine="0"/>
              <w:jc w:val="left"/>
            </w:pPr>
            <w:r>
              <w:t>Type of Respondents</w:t>
            </w:r>
            <w:r>
              <w:t xml:space="preserve"> </w:t>
            </w:r>
          </w:p>
        </w:tc>
        <w:tc>
          <w:tcPr>
            <w:tcW w:w="1231"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0" w:firstLine="0"/>
              <w:jc w:val="center"/>
            </w:pPr>
            <w:r>
              <w:t>Number of Respondents</w:t>
            </w: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0" w:firstLine="0"/>
              <w:jc w:val="center"/>
            </w:pPr>
            <w:r>
              <w:t xml:space="preserve">Use of Tube well water </w:t>
            </w:r>
          </w:p>
        </w:tc>
        <w:tc>
          <w:tcPr>
            <w:tcW w:w="972"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60" w:right="0" w:firstLine="0"/>
            </w:pPr>
            <w:r>
              <w:t>Percentage</w:t>
            </w:r>
            <w:r>
              <w:t xml:space="preserve"> </w:t>
            </w:r>
          </w:p>
        </w:tc>
        <w:tc>
          <w:tcPr>
            <w:tcW w:w="125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0" w:firstLine="0"/>
              <w:jc w:val="center"/>
            </w:pPr>
            <w:r>
              <w:t xml:space="preserve">Use of sanitary latrines </w:t>
            </w:r>
          </w:p>
        </w:tc>
        <w:tc>
          <w:tcPr>
            <w:tcW w:w="91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7" w:right="0" w:firstLine="0"/>
            </w:pPr>
            <w:r>
              <w:t xml:space="preserve"> Percentage</w:t>
            </w:r>
          </w:p>
        </w:tc>
        <w:tc>
          <w:tcPr>
            <w:tcW w:w="1666"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7" w:right="-1" w:firstLine="0"/>
              <w:jc w:val="center"/>
            </w:pPr>
            <w:r>
              <w:t xml:space="preserve"> Washing hands after defections % </w:t>
            </w:r>
          </w:p>
        </w:tc>
      </w:tr>
      <w:tr w:rsidR="00E44FD5">
        <w:trPr>
          <w:trHeight w:val="262"/>
        </w:trPr>
        <w:tc>
          <w:tcPr>
            <w:tcW w:w="1855"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127" w:right="0" w:firstLine="0"/>
              <w:jc w:val="left"/>
            </w:pPr>
            <w:r>
              <w:t>Literate respondents</w:t>
            </w:r>
            <w:r>
              <w:t xml:space="preserve"> </w:t>
            </w:r>
          </w:p>
        </w:tc>
        <w:tc>
          <w:tcPr>
            <w:tcW w:w="1231"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25" w:right="0" w:firstLine="0"/>
              <w:jc w:val="center"/>
            </w:pPr>
            <w:r>
              <w:t xml:space="preserve">30 </w:t>
            </w:r>
          </w:p>
        </w:tc>
        <w:tc>
          <w:tcPr>
            <w:tcW w:w="119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30" w:right="0" w:firstLine="0"/>
              <w:jc w:val="center"/>
            </w:pPr>
            <w:r>
              <w:t xml:space="preserve">22 </w:t>
            </w:r>
          </w:p>
        </w:tc>
        <w:tc>
          <w:tcPr>
            <w:tcW w:w="972"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31" w:right="0" w:firstLine="0"/>
              <w:jc w:val="center"/>
            </w:pPr>
            <w:r>
              <w:t xml:space="preserve">73.33% </w:t>
            </w:r>
          </w:p>
        </w:tc>
        <w:tc>
          <w:tcPr>
            <w:tcW w:w="125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30" w:right="0" w:firstLine="0"/>
              <w:jc w:val="center"/>
            </w:pPr>
            <w:r>
              <w:t xml:space="preserve">30 </w:t>
            </w:r>
          </w:p>
        </w:tc>
        <w:tc>
          <w:tcPr>
            <w:tcW w:w="91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29" w:right="0" w:firstLine="0"/>
              <w:jc w:val="center"/>
            </w:pPr>
            <w:r>
              <w:t xml:space="preserve">100% </w:t>
            </w:r>
          </w:p>
        </w:tc>
        <w:tc>
          <w:tcPr>
            <w:tcW w:w="1666"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31" w:right="0" w:firstLine="0"/>
              <w:jc w:val="center"/>
            </w:pPr>
            <w:r>
              <w:t xml:space="preserve">30   100% </w:t>
            </w:r>
          </w:p>
        </w:tc>
      </w:tr>
      <w:tr w:rsidR="00E44FD5">
        <w:trPr>
          <w:trHeight w:val="262"/>
        </w:trPr>
        <w:tc>
          <w:tcPr>
            <w:tcW w:w="1855"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65" w:right="0" w:firstLine="0"/>
            </w:pPr>
            <w:r>
              <w:t>Illiterate Respondents</w:t>
            </w:r>
            <w:r>
              <w:t xml:space="preserve"> </w:t>
            </w:r>
          </w:p>
        </w:tc>
        <w:tc>
          <w:tcPr>
            <w:tcW w:w="1231"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25" w:right="0" w:firstLine="0"/>
              <w:jc w:val="center"/>
            </w:pPr>
            <w:r>
              <w:t xml:space="preserve">30 </w:t>
            </w:r>
          </w:p>
        </w:tc>
        <w:tc>
          <w:tcPr>
            <w:tcW w:w="119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30" w:right="0" w:firstLine="0"/>
              <w:jc w:val="center"/>
            </w:pPr>
            <w:r>
              <w:t xml:space="preserve">14 </w:t>
            </w:r>
          </w:p>
        </w:tc>
        <w:tc>
          <w:tcPr>
            <w:tcW w:w="972"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31" w:right="0" w:firstLine="0"/>
              <w:jc w:val="center"/>
            </w:pPr>
            <w:r>
              <w:t xml:space="preserve">46.67% </w:t>
            </w:r>
          </w:p>
        </w:tc>
        <w:tc>
          <w:tcPr>
            <w:tcW w:w="125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30" w:right="0" w:firstLine="0"/>
              <w:jc w:val="center"/>
            </w:pPr>
            <w:r>
              <w:t xml:space="preserve">16 </w:t>
            </w:r>
          </w:p>
        </w:tc>
        <w:tc>
          <w:tcPr>
            <w:tcW w:w="91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163" w:right="0" w:firstLine="0"/>
              <w:jc w:val="left"/>
            </w:pPr>
            <w:r>
              <w:t xml:space="preserve">53.33% </w:t>
            </w:r>
          </w:p>
        </w:tc>
        <w:tc>
          <w:tcPr>
            <w:tcW w:w="1666"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29" w:right="0" w:firstLine="0"/>
              <w:jc w:val="center"/>
            </w:pPr>
            <w:r>
              <w:t xml:space="preserve">17 56.67% </w:t>
            </w:r>
          </w:p>
        </w:tc>
      </w:tr>
    </w:tbl>
    <w:p w:rsidR="00E44FD5" w:rsidRDefault="0038505C">
      <w:pPr>
        <w:ind w:left="-5" w:right="0"/>
      </w:pPr>
      <w:r>
        <w:t xml:space="preserve">The table 10.5 shows that 73.33%, 100% and 100% literate respondents having     tube wells for drinking water, sanitary latrines and habit of washing hands after defections as against 46.67%, 53.33% and56.67% illiterate respondents respectively.    </w:t>
      </w:r>
    </w:p>
    <w:p w:rsidR="00E44FD5" w:rsidRDefault="0038505C">
      <w:pPr>
        <w:pStyle w:val="Heading2"/>
        <w:ind w:left="-5"/>
      </w:pPr>
      <w:r>
        <w:t>10.6 F</w:t>
      </w:r>
      <w:r>
        <w:t xml:space="preserve">amily Planning Systems of the Respondents </w:t>
      </w:r>
    </w:p>
    <w:p w:rsidR="00E44FD5" w:rsidRDefault="0038505C">
      <w:pPr>
        <w:spacing w:after="203" w:line="241" w:lineRule="auto"/>
        <w:ind w:left="0" w:right="0" w:firstLine="0"/>
        <w:jc w:val="left"/>
      </w:pPr>
      <w:r>
        <w:t>In modern society it is needless to say that every family consists of only two children and getting the family planning system to keep family small. The table below shows the family planning system of the responde</w:t>
      </w:r>
      <w:r>
        <w:t xml:space="preserve">nts. </w:t>
      </w:r>
    </w:p>
    <w:p w:rsidR="00E44FD5" w:rsidRDefault="0038505C">
      <w:pPr>
        <w:pStyle w:val="Heading1"/>
        <w:ind w:left="-5"/>
      </w:pPr>
      <w:r>
        <w:t>Table—10.6 Family Planning Systems of the Respondents</w:t>
      </w:r>
      <w:r>
        <w:rPr>
          <w:b w:val="0"/>
        </w:rPr>
        <w:t xml:space="preserve"> </w:t>
      </w:r>
    </w:p>
    <w:tbl>
      <w:tblPr>
        <w:tblStyle w:val="TableGrid"/>
        <w:tblW w:w="9062" w:type="dxa"/>
        <w:tblInd w:w="0" w:type="dxa"/>
        <w:tblCellMar>
          <w:top w:w="49" w:type="dxa"/>
          <w:left w:w="19" w:type="dxa"/>
          <w:bottom w:w="0" w:type="dxa"/>
          <w:right w:w="0" w:type="dxa"/>
        </w:tblCellMar>
        <w:tblLook w:val="04A0" w:firstRow="1" w:lastRow="0" w:firstColumn="1" w:lastColumn="0" w:noHBand="0" w:noVBand="1"/>
      </w:tblPr>
      <w:tblGrid>
        <w:gridCol w:w="1439"/>
        <w:gridCol w:w="953"/>
        <w:gridCol w:w="1171"/>
        <w:gridCol w:w="734"/>
        <w:gridCol w:w="1292"/>
        <w:gridCol w:w="614"/>
        <w:gridCol w:w="953"/>
        <w:gridCol w:w="953"/>
        <w:gridCol w:w="953"/>
      </w:tblGrid>
      <w:tr w:rsidR="00E44FD5">
        <w:trPr>
          <w:trHeight w:val="547"/>
        </w:trPr>
        <w:tc>
          <w:tcPr>
            <w:tcW w:w="144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182" w:right="0" w:firstLine="36"/>
              <w:jc w:val="left"/>
            </w:pPr>
            <w:r>
              <w:t xml:space="preserve">Category of Respondents </w:t>
            </w:r>
          </w:p>
        </w:tc>
        <w:tc>
          <w:tcPr>
            <w:tcW w:w="2124" w:type="dxa"/>
            <w:gridSpan w:val="2"/>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266" w:right="0" w:hanging="264"/>
            </w:pPr>
            <w:r>
              <w:t xml:space="preserve">No. of Respondents taken family </w:t>
            </w:r>
            <w:proofErr w:type="gramStart"/>
            <w:r>
              <w:t>planning  %</w:t>
            </w:r>
            <w:proofErr w:type="gramEnd"/>
            <w:r>
              <w:t xml:space="preserve"> </w:t>
            </w:r>
          </w:p>
        </w:tc>
        <w:tc>
          <w:tcPr>
            <w:tcW w:w="2026" w:type="dxa"/>
            <w:gridSpan w:val="2"/>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0" w:firstLine="0"/>
              <w:jc w:val="center"/>
            </w:pPr>
            <w:r>
              <w:t>No. of Respondents not taken family planning %</w:t>
            </w:r>
            <w:r>
              <w:t xml:space="preserve"> </w:t>
            </w:r>
          </w:p>
        </w:tc>
        <w:tc>
          <w:tcPr>
            <w:tcW w:w="1567" w:type="dxa"/>
            <w:gridSpan w:val="2"/>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675" w:right="149" w:hanging="346"/>
              <w:jc w:val="left"/>
            </w:pPr>
            <w:r>
              <w:t xml:space="preserve">Permanent % </w:t>
            </w:r>
          </w:p>
        </w:tc>
        <w:tc>
          <w:tcPr>
            <w:tcW w:w="1906" w:type="dxa"/>
            <w:gridSpan w:val="2"/>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843" w:right="212" w:hanging="449"/>
              <w:jc w:val="left"/>
            </w:pPr>
            <w:r>
              <w:t xml:space="preserve">Impermanent % </w:t>
            </w:r>
          </w:p>
        </w:tc>
      </w:tr>
      <w:tr w:rsidR="00E44FD5">
        <w:trPr>
          <w:trHeight w:val="298"/>
        </w:trPr>
        <w:tc>
          <w:tcPr>
            <w:tcW w:w="144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9" w:firstLine="0"/>
              <w:jc w:val="center"/>
            </w:pPr>
            <w:r>
              <w:t xml:space="preserve">Literate </w:t>
            </w:r>
          </w:p>
        </w:tc>
        <w:tc>
          <w:tcPr>
            <w:tcW w:w="953"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2" w:firstLine="0"/>
              <w:jc w:val="center"/>
            </w:pPr>
            <w:r>
              <w:t xml:space="preserve">30 </w:t>
            </w:r>
          </w:p>
        </w:tc>
        <w:tc>
          <w:tcPr>
            <w:tcW w:w="1171"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1" w:firstLine="0"/>
              <w:jc w:val="center"/>
            </w:pPr>
            <w:r>
              <w:t xml:space="preserve">100% </w:t>
            </w:r>
          </w:p>
        </w:tc>
        <w:tc>
          <w:tcPr>
            <w:tcW w:w="734"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5" w:firstLine="0"/>
              <w:jc w:val="center"/>
            </w:pPr>
            <w:r>
              <w:t xml:space="preserve">00 </w:t>
            </w:r>
          </w:p>
        </w:tc>
        <w:tc>
          <w:tcPr>
            <w:tcW w:w="1291"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6" w:firstLine="0"/>
              <w:jc w:val="center"/>
            </w:pPr>
            <w:r>
              <w:t xml:space="preserve">00% </w:t>
            </w:r>
          </w:p>
        </w:tc>
        <w:tc>
          <w:tcPr>
            <w:tcW w:w="614"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5" w:firstLine="0"/>
              <w:jc w:val="center"/>
            </w:pPr>
            <w:r>
              <w:t xml:space="preserve">03 </w:t>
            </w:r>
          </w:p>
        </w:tc>
        <w:tc>
          <w:tcPr>
            <w:tcW w:w="953"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3" w:firstLine="0"/>
              <w:jc w:val="center"/>
            </w:pPr>
            <w:r>
              <w:t xml:space="preserve">10% </w:t>
            </w:r>
          </w:p>
        </w:tc>
        <w:tc>
          <w:tcPr>
            <w:tcW w:w="953"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2" w:firstLine="0"/>
              <w:jc w:val="center"/>
            </w:pPr>
            <w:r>
              <w:t xml:space="preserve">27 </w:t>
            </w:r>
          </w:p>
        </w:tc>
        <w:tc>
          <w:tcPr>
            <w:tcW w:w="953"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3" w:firstLine="0"/>
              <w:jc w:val="center"/>
            </w:pPr>
            <w:r>
              <w:t xml:space="preserve">90% </w:t>
            </w:r>
          </w:p>
        </w:tc>
      </w:tr>
      <w:tr w:rsidR="00E44FD5">
        <w:trPr>
          <w:trHeight w:val="324"/>
        </w:trPr>
        <w:tc>
          <w:tcPr>
            <w:tcW w:w="144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4" w:firstLine="0"/>
              <w:jc w:val="center"/>
            </w:pPr>
            <w:r>
              <w:t xml:space="preserve">Illiterate </w:t>
            </w:r>
          </w:p>
        </w:tc>
        <w:tc>
          <w:tcPr>
            <w:tcW w:w="953"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348" w:right="0" w:firstLine="0"/>
              <w:jc w:val="left"/>
            </w:pPr>
            <w:r>
              <w:t xml:space="preserve">20     </w:t>
            </w:r>
          </w:p>
        </w:tc>
        <w:tc>
          <w:tcPr>
            <w:tcW w:w="1171"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3" w:firstLine="0"/>
              <w:jc w:val="center"/>
            </w:pPr>
            <w:r>
              <w:t xml:space="preserve">66.67% </w:t>
            </w:r>
          </w:p>
        </w:tc>
        <w:tc>
          <w:tcPr>
            <w:tcW w:w="734"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5" w:firstLine="0"/>
              <w:jc w:val="center"/>
            </w:pPr>
            <w:r>
              <w:t xml:space="preserve">10 </w:t>
            </w:r>
          </w:p>
        </w:tc>
        <w:tc>
          <w:tcPr>
            <w:tcW w:w="1291"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3" w:firstLine="0"/>
              <w:jc w:val="center"/>
            </w:pPr>
            <w:r>
              <w:t xml:space="preserve">33.33% </w:t>
            </w:r>
          </w:p>
        </w:tc>
        <w:tc>
          <w:tcPr>
            <w:tcW w:w="614"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5" w:firstLine="0"/>
              <w:jc w:val="center"/>
            </w:pPr>
            <w:r>
              <w:t xml:space="preserve">6 </w:t>
            </w:r>
          </w:p>
        </w:tc>
        <w:tc>
          <w:tcPr>
            <w:tcW w:w="953"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3" w:firstLine="0"/>
              <w:jc w:val="center"/>
            </w:pPr>
            <w:r>
              <w:t xml:space="preserve">20% </w:t>
            </w:r>
          </w:p>
        </w:tc>
        <w:tc>
          <w:tcPr>
            <w:tcW w:w="953"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2" w:firstLine="0"/>
              <w:jc w:val="center"/>
            </w:pPr>
            <w:r>
              <w:t xml:space="preserve">24 </w:t>
            </w:r>
          </w:p>
        </w:tc>
        <w:tc>
          <w:tcPr>
            <w:tcW w:w="953"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33" w:firstLine="0"/>
              <w:jc w:val="center"/>
            </w:pPr>
            <w:r>
              <w:t xml:space="preserve">80% </w:t>
            </w:r>
          </w:p>
        </w:tc>
      </w:tr>
    </w:tbl>
    <w:p w:rsidR="00E44FD5" w:rsidRDefault="0038505C">
      <w:pPr>
        <w:ind w:left="-5" w:right="0"/>
      </w:pPr>
      <w:r>
        <w:t>The table 10.6 shows that 100% literate and 66.67% illiterate respondents have taken family planning system under the study. So, the in regards of the family planning both respondents are aware and it is observed that all of the respondents are inspired to</w:t>
      </w:r>
      <w:r>
        <w:t xml:space="preserve"> take the family planning system under the study. For limitations of the program of the government, some respondents could not take the system easily.   </w:t>
      </w:r>
    </w:p>
    <w:p w:rsidR="00E44FD5" w:rsidRDefault="0038505C">
      <w:pPr>
        <w:pStyle w:val="Heading1"/>
        <w:spacing w:after="173"/>
        <w:ind w:left="-5"/>
      </w:pPr>
      <w:r>
        <w:t>11. Impact of Formal Education on Social Interaction Process</w:t>
      </w:r>
      <w:r>
        <w:rPr>
          <w:b w:val="0"/>
        </w:rPr>
        <w:t xml:space="preserve"> </w:t>
      </w:r>
    </w:p>
    <w:p w:rsidR="00E44FD5" w:rsidRDefault="0038505C">
      <w:pPr>
        <w:ind w:left="-5" w:right="0"/>
      </w:pPr>
      <w:r>
        <w:t>Social Interaction refers to the process</w:t>
      </w:r>
      <w:r>
        <w:t xml:space="preserve"> of dealing with other people. It depends on personality. Personality is a social product. What a man thinks, talks or acts, even what he fantasies or dreams result from the kinds of experiences which he has had with other people throughout his life.  </w:t>
      </w:r>
    </w:p>
    <w:p w:rsidR="00E44FD5" w:rsidRDefault="0038505C">
      <w:pPr>
        <w:spacing w:after="177" w:line="259" w:lineRule="auto"/>
        <w:ind w:left="-5" w:right="0"/>
        <w:jc w:val="left"/>
      </w:pPr>
      <w:r>
        <w:rPr>
          <w:b/>
          <w:i/>
        </w:rPr>
        <w:t>11.</w:t>
      </w:r>
      <w:r>
        <w:rPr>
          <w:b/>
          <w:i/>
        </w:rPr>
        <w:t>1 Knowledge about Dowry, Laws and Punishment</w:t>
      </w:r>
      <w:r>
        <w:rPr>
          <w:i/>
        </w:rPr>
        <w:t xml:space="preserve"> </w:t>
      </w:r>
    </w:p>
    <w:p w:rsidR="00E44FD5" w:rsidRDefault="0038505C">
      <w:pPr>
        <w:ind w:left="-5" w:right="0"/>
      </w:pPr>
      <w:r>
        <w:t xml:space="preserve">The table below shows the knowledge of the respondents in respect of dowry, laws and its punishment. </w:t>
      </w:r>
    </w:p>
    <w:p w:rsidR="00E44FD5" w:rsidRDefault="0038505C">
      <w:pPr>
        <w:pStyle w:val="Heading1"/>
        <w:ind w:left="-5"/>
      </w:pPr>
      <w:r>
        <w:t xml:space="preserve">Table—11.1 Knowledge about Dowry, Law and Punishment </w:t>
      </w:r>
    </w:p>
    <w:tbl>
      <w:tblPr>
        <w:tblStyle w:val="TableGrid"/>
        <w:tblW w:w="8417" w:type="dxa"/>
        <w:tblInd w:w="0" w:type="dxa"/>
        <w:tblCellMar>
          <w:top w:w="49" w:type="dxa"/>
          <w:left w:w="0" w:type="dxa"/>
          <w:bottom w:w="0" w:type="dxa"/>
          <w:right w:w="1" w:type="dxa"/>
        </w:tblCellMar>
        <w:tblLook w:val="04A0" w:firstRow="1" w:lastRow="0" w:firstColumn="1" w:lastColumn="0" w:noHBand="0" w:noVBand="1"/>
      </w:tblPr>
      <w:tblGrid>
        <w:gridCol w:w="1700"/>
        <w:gridCol w:w="1682"/>
        <w:gridCol w:w="1675"/>
        <w:gridCol w:w="1822"/>
        <w:gridCol w:w="1538"/>
      </w:tblGrid>
      <w:tr w:rsidR="00E44FD5">
        <w:trPr>
          <w:trHeight w:val="468"/>
        </w:trPr>
        <w:tc>
          <w:tcPr>
            <w:tcW w:w="169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46" w:right="0" w:firstLine="0"/>
            </w:pPr>
            <w:r>
              <w:t>Type of respondents</w:t>
            </w:r>
          </w:p>
        </w:tc>
        <w:tc>
          <w:tcPr>
            <w:tcW w:w="1682"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22" w:right="0" w:firstLine="0"/>
            </w:pPr>
            <w:r>
              <w:t xml:space="preserve"> </w:t>
            </w:r>
            <w:r>
              <w:t>Having Knowledge</w:t>
            </w:r>
            <w:r>
              <w:t xml:space="preserve"> </w:t>
            </w:r>
          </w:p>
        </w:tc>
        <w:tc>
          <w:tcPr>
            <w:tcW w:w="1675"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27" w:right="0" w:firstLine="0"/>
              <w:jc w:val="center"/>
            </w:pPr>
            <w:r>
              <w:t xml:space="preserve">Percentage </w:t>
            </w:r>
          </w:p>
        </w:tc>
        <w:tc>
          <w:tcPr>
            <w:tcW w:w="1822"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15" w:right="0" w:firstLine="0"/>
              <w:jc w:val="center"/>
            </w:pPr>
            <w:r>
              <w:t>Not having knowledge.</w:t>
            </w:r>
            <w:r>
              <w:rPr>
                <w:b/>
              </w:rPr>
              <w:t xml:space="preserve"> </w:t>
            </w:r>
          </w:p>
        </w:tc>
        <w:tc>
          <w:tcPr>
            <w:tcW w:w="153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24" w:right="0" w:firstLine="0"/>
              <w:jc w:val="center"/>
            </w:pPr>
            <w:r>
              <w:t>Percentage</w:t>
            </w:r>
            <w:r>
              <w:rPr>
                <w:b/>
              </w:rPr>
              <w:t xml:space="preserve"> </w:t>
            </w:r>
          </w:p>
        </w:tc>
      </w:tr>
      <w:tr w:rsidR="00E44FD5">
        <w:trPr>
          <w:trHeight w:val="470"/>
        </w:trPr>
        <w:tc>
          <w:tcPr>
            <w:tcW w:w="169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24" w:right="0" w:firstLine="0"/>
              <w:jc w:val="center"/>
            </w:pPr>
            <w:r>
              <w:t xml:space="preserve">Literate </w:t>
            </w:r>
          </w:p>
          <w:p w:rsidR="00E44FD5" w:rsidRDefault="0038505C">
            <w:pPr>
              <w:spacing w:after="0" w:line="259" w:lineRule="auto"/>
              <w:ind w:left="23" w:right="0" w:firstLine="0"/>
              <w:jc w:val="center"/>
            </w:pPr>
            <w:r>
              <w:t xml:space="preserve">Respondents </w:t>
            </w:r>
          </w:p>
        </w:tc>
        <w:tc>
          <w:tcPr>
            <w:tcW w:w="1682"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26" w:right="0" w:firstLine="0"/>
              <w:jc w:val="center"/>
            </w:pPr>
            <w:r>
              <w:t xml:space="preserve">30 </w:t>
            </w:r>
          </w:p>
        </w:tc>
        <w:tc>
          <w:tcPr>
            <w:tcW w:w="1675"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32" w:right="0" w:firstLine="0"/>
              <w:jc w:val="center"/>
            </w:pPr>
            <w:r>
              <w:t xml:space="preserve">100% </w:t>
            </w:r>
          </w:p>
        </w:tc>
        <w:tc>
          <w:tcPr>
            <w:tcW w:w="1822"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31" w:right="0" w:firstLine="0"/>
              <w:jc w:val="center"/>
            </w:pPr>
            <w:r>
              <w:t xml:space="preserve">00 </w:t>
            </w:r>
          </w:p>
        </w:tc>
        <w:tc>
          <w:tcPr>
            <w:tcW w:w="153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30" w:right="0" w:firstLine="0"/>
              <w:jc w:val="center"/>
            </w:pPr>
            <w:r>
              <w:t xml:space="preserve">00% </w:t>
            </w:r>
          </w:p>
        </w:tc>
      </w:tr>
      <w:tr w:rsidR="00E44FD5">
        <w:trPr>
          <w:trHeight w:val="470"/>
        </w:trPr>
        <w:tc>
          <w:tcPr>
            <w:tcW w:w="1699"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24" w:right="0" w:firstLine="0"/>
              <w:jc w:val="center"/>
            </w:pPr>
            <w:r>
              <w:t xml:space="preserve">Illiterate </w:t>
            </w:r>
          </w:p>
          <w:p w:rsidR="00E44FD5" w:rsidRDefault="0038505C">
            <w:pPr>
              <w:spacing w:after="0" w:line="259" w:lineRule="auto"/>
              <w:ind w:left="23" w:right="0" w:firstLine="0"/>
              <w:jc w:val="center"/>
            </w:pPr>
            <w:r>
              <w:t xml:space="preserve">Respondents </w:t>
            </w:r>
          </w:p>
        </w:tc>
        <w:tc>
          <w:tcPr>
            <w:tcW w:w="1682"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26" w:right="0" w:firstLine="0"/>
              <w:jc w:val="center"/>
            </w:pPr>
            <w:r>
              <w:t xml:space="preserve">20 </w:t>
            </w:r>
          </w:p>
        </w:tc>
        <w:tc>
          <w:tcPr>
            <w:tcW w:w="1675"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30" w:right="0" w:firstLine="0"/>
              <w:jc w:val="center"/>
            </w:pPr>
            <w:r>
              <w:t xml:space="preserve">66.67% </w:t>
            </w:r>
          </w:p>
        </w:tc>
        <w:tc>
          <w:tcPr>
            <w:tcW w:w="1822"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31" w:right="0" w:firstLine="0"/>
              <w:jc w:val="center"/>
            </w:pPr>
            <w:r>
              <w:t xml:space="preserve">10 </w:t>
            </w:r>
          </w:p>
        </w:tc>
        <w:tc>
          <w:tcPr>
            <w:tcW w:w="153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32" w:right="0" w:firstLine="0"/>
              <w:jc w:val="center"/>
            </w:pPr>
            <w:r>
              <w:t xml:space="preserve">33.33% </w:t>
            </w:r>
          </w:p>
        </w:tc>
      </w:tr>
    </w:tbl>
    <w:p w:rsidR="00E44FD5" w:rsidRDefault="0038505C">
      <w:pPr>
        <w:ind w:left="-5" w:right="0"/>
      </w:pPr>
      <w:r>
        <w:t xml:space="preserve">The table 11.1 shows that 100% literate respondents having knowledge about dowry laws and punishment as against 66.67% of the illiterate respondents respectively under the study.  </w:t>
      </w:r>
    </w:p>
    <w:p w:rsidR="00E44FD5" w:rsidRDefault="0038505C">
      <w:pPr>
        <w:pStyle w:val="Heading2"/>
        <w:ind w:left="-5"/>
      </w:pPr>
      <w:r>
        <w:t xml:space="preserve">11.2 Attitude Condition Conditions of the Respondents </w:t>
      </w:r>
    </w:p>
    <w:p w:rsidR="00E44FD5" w:rsidRDefault="0038505C">
      <w:pPr>
        <w:ind w:left="-5" w:right="0"/>
      </w:pPr>
      <w:r>
        <w:t>The term attitude is</w:t>
      </w:r>
      <w:r>
        <w:t xml:space="preserve"> now a day being applied in a technical to an enduring acquired predisposition to react a characteristic way, usually favorable or unfavorable, towards a given type of person, object situation or ideal.  </w:t>
      </w:r>
    </w:p>
    <w:p w:rsidR="00E44FD5" w:rsidRDefault="0038505C">
      <w:pPr>
        <w:pStyle w:val="Heading1"/>
        <w:ind w:left="-5"/>
      </w:pPr>
      <w:r>
        <w:t xml:space="preserve">Table—11.2 Attitude Conditions of the Respondents </w:t>
      </w:r>
    </w:p>
    <w:tbl>
      <w:tblPr>
        <w:tblStyle w:val="TableGrid"/>
        <w:tblW w:w="8417" w:type="dxa"/>
        <w:tblInd w:w="0" w:type="dxa"/>
        <w:tblCellMar>
          <w:top w:w="49" w:type="dxa"/>
          <w:left w:w="137" w:type="dxa"/>
          <w:bottom w:w="0" w:type="dxa"/>
          <w:right w:w="73" w:type="dxa"/>
        </w:tblCellMar>
        <w:tblLook w:val="04A0" w:firstRow="1" w:lastRow="0" w:firstColumn="1" w:lastColumn="0" w:noHBand="0" w:noVBand="1"/>
      </w:tblPr>
      <w:tblGrid>
        <w:gridCol w:w="1687"/>
        <w:gridCol w:w="1690"/>
        <w:gridCol w:w="1675"/>
        <w:gridCol w:w="1687"/>
        <w:gridCol w:w="1678"/>
      </w:tblGrid>
      <w:tr w:rsidR="00E44FD5">
        <w:trPr>
          <w:trHeight w:val="468"/>
        </w:trPr>
        <w:tc>
          <w:tcPr>
            <w:tcW w:w="168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0" w:firstLine="0"/>
              <w:jc w:val="center"/>
            </w:pPr>
            <w:r>
              <w:t xml:space="preserve">Type of Attitude </w:t>
            </w:r>
          </w:p>
        </w:tc>
        <w:tc>
          <w:tcPr>
            <w:tcW w:w="169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0" w:firstLine="0"/>
              <w:jc w:val="center"/>
            </w:pPr>
            <w:r>
              <w:t xml:space="preserve">No. </w:t>
            </w:r>
            <w:proofErr w:type="gramStart"/>
            <w:r>
              <w:t>of  literate</w:t>
            </w:r>
            <w:proofErr w:type="gramEnd"/>
            <w:r>
              <w:t xml:space="preserve"> respondents </w:t>
            </w:r>
          </w:p>
        </w:tc>
        <w:tc>
          <w:tcPr>
            <w:tcW w:w="1675"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3" w:firstLine="0"/>
              <w:jc w:val="center"/>
            </w:pPr>
            <w:r>
              <w:t xml:space="preserve">Percentage </w:t>
            </w:r>
          </w:p>
        </w:tc>
        <w:tc>
          <w:tcPr>
            <w:tcW w:w="168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0" w:firstLine="0"/>
              <w:jc w:val="center"/>
            </w:pPr>
            <w:r>
              <w:t xml:space="preserve">No. </w:t>
            </w:r>
            <w:proofErr w:type="gramStart"/>
            <w:r>
              <w:t>of  illiterate</w:t>
            </w:r>
            <w:proofErr w:type="gramEnd"/>
            <w:r>
              <w:t xml:space="preserve"> respondents </w:t>
            </w:r>
          </w:p>
        </w:tc>
        <w:tc>
          <w:tcPr>
            <w:tcW w:w="167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5" w:firstLine="0"/>
              <w:jc w:val="center"/>
            </w:pPr>
            <w:r>
              <w:t xml:space="preserve">Percentage </w:t>
            </w:r>
          </w:p>
        </w:tc>
      </w:tr>
      <w:tr w:rsidR="00E44FD5">
        <w:trPr>
          <w:trHeight w:val="271"/>
        </w:trPr>
        <w:tc>
          <w:tcPr>
            <w:tcW w:w="168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0" w:firstLine="0"/>
              <w:jc w:val="center"/>
            </w:pPr>
            <w:r>
              <w:t xml:space="preserve">Very polite </w:t>
            </w:r>
          </w:p>
        </w:tc>
        <w:tc>
          <w:tcPr>
            <w:tcW w:w="169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6" w:firstLine="0"/>
              <w:jc w:val="center"/>
            </w:pPr>
            <w:r>
              <w:t xml:space="preserve">5 </w:t>
            </w:r>
          </w:p>
        </w:tc>
        <w:tc>
          <w:tcPr>
            <w:tcW w:w="1675"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0" w:firstLine="0"/>
              <w:jc w:val="center"/>
            </w:pPr>
            <w:r>
              <w:t xml:space="preserve">16.67% </w:t>
            </w:r>
          </w:p>
        </w:tc>
        <w:tc>
          <w:tcPr>
            <w:tcW w:w="168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3" w:firstLine="0"/>
              <w:jc w:val="center"/>
            </w:pPr>
            <w:r>
              <w:t xml:space="preserve">2 </w:t>
            </w:r>
          </w:p>
        </w:tc>
        <w:tc>
          <w:tcPr>
            <w:tcW w:w="167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7" w:firstLine="0"/>
              <w:jc w:val="center"/>
            </w:pPr>
            <w:r>
              <w:t xml:space="preserve">6.67% </w:t>
            </w:r>
          </w:p>
        </w:tc>
      </w:tr>
      <w:tr w:rsidR="00E44FD5">
        <w:trPr>
          <w:trHeight w:val="252"/>
        </w:trPr>
        <w:tc>
          <w:tcPr>
            <w:tcW w:w="168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0" w:firstLine="0"/>
              <w:jc w:val="center"/>
            </w:pPr>
            <w:r>
              <w:t xml:space="preserve">Polite </w:t>
            </w:r>
          </w:p>
        </w:tc>
        <w:tc>
          <w:tcPr>
            <w:tcW w:w="169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1" w:firstLine="0"/>
              <w:jc w:val="center"/>
            </w:pPr>
            <w:r>
              <w:t xml:space="preserve">16 </w:t>
            </w:r>
          </w:p>
        </w:tc>
        <w:tc>
          <w:tcPr>
            <w:tcW w:w="1675"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0" w:firstLine="0"/>
              <w:jc w:val="center"/>
            </w:pPr>
            <w:r>
              <w:t xml:space="preserve">53.33% </w:t>
            </w:r>
          </w:p>
        </w:tc>
        <w:tc>
          <w:tcPr>
            <w:tcW w:w="168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9" w:firstLine="0"/>
              <w:jc w:val="center"/>
            </w:pPr>
            <w:r>
              <w:t xml:space="preserve">10 </w:t>
            </w:r>
          </w:p>
        </w:tc>
        <w:tc>
          <w:tcPr>
            <w:tcW w:w="167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7" w:firstLine="0"/>
              <w:jc w:val="center"/>
            </w:pPr>
            <w:r>
              <w:t xml:space="preserve">33.33% </w:t>
            </w:r>
          </w:p>
        </w:tc>
      </w:tr>
      <w:tr w:rsidR="00E44FD5">
        <w:trPr>
          <w:trHeight w:val="278"/>
        </w:trPr>
        <w:tc>
          <w:tcPr>
            <w:tcW w:w="168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5" w:firstLine="0"/>
              <w:jc w:val="center"/>
            </w:pPr>
            <w:r>
              <w:t xml:space="preserve">Rude </w:t>
            </w:r>
          </w:p>
        </w:tc>
        <w:tc>
          <w:tcPr>
            <w:tcW w:w="169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6" w:firstLine="0"/>
              <w:jc w:val="center"/>
            </w:pPr>
            <w:r>
              <w:t xml:space="preserve">7 </w:t>
            </w:r>
          </w:p>
        </w:tc>
        <w:tc>
          <w:tcPr>
            <w:tcW w:w="1675"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0" w:firstLine="0"/>
              <w:jc w:val="center"/>
            </w:pPr>
            <w:r>
              <w:t xml:space="preserve">23.33% </w:t>
            </w:r>
          </w:p>
        </w:tc>
        <w:tc>
          <w:tcPr>
            <w:tcW w:w="168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9" w:firstLine="0"/>
              <w:jc w:val="center"/>
            </w:pPr>
            <w:r>
              <w:t xml:space="preserve">12 </w:t>
            </w:r>
          </w:p>
        </w:tc>
        <w:tc>
          <w:tcPr>
            <w:tcW w:w="167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0" w:firstLine="0"/>
              <w:jc w:val="center"/>
            </w:pPr>
            <w:r>
              <w:t xml:space="preserve">40% </w:t>
            </w:r>
          </w:p>
        </w:tc>
      </w:tr>
      <w:tr w:rsidR="00E44FD5">
        <w:trPr>
          <w:trHeight w:val="240"/>
        </w:trPr>
        <w:tc>
          <w:tcPr>
            <w:tcW w:w="168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5" w:firstLine="0"/>
              <w:jc w:val="center"/>
            </w:pPr>
            <w:r>
              <w:t xml:space="preserve">Very rude </w:t>
            </w:r>
          </w:p>
        </w:tc>
        <w:tc>
          <w:tcPr>
            <w:tcW w:w="169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6" w:firstLine="0"/>
              <w:jc w:val="center"/>
            </w:pPr>
            <w:r>
              <w:t xml:space="preserve">2 </w:t>
            </w:r>
          </w:p>
        </w:tc>
        <w:tc>
          <w:tcPr>
            <w:tcW w:w="1675"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0" w:firstLine="0"/>
              <w:jc w:val="center"/>
            </w:pPr>
            <w:r>
              <w:t xml:space="preserve">6.66% </w:t>
            </w:r>
          </w:p>
        </w:tc>
        <w:tc>
          <w:tcPr>
            <w:tcW w:w="168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3" w:firstLine="0"/>
              <w:jc w:val="center"/>
            </w:pPr>
            <w:r>
              <w:t xml:space="preserve">6 </w:t>
            </w:r>
          </w:p>
        </w:tc>
        <w:tc>
          <w:tcPr>
            <w:tcW w:w="167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0" w:firstLine="0"/>
              <w:jc w:val="center"/>
            </w:pPr>
            <w:r>
              <w:t xml:space="preserve">20% </w:t>
            </w:r>
          </w:p>
        </w:tc>
      </w:tr>
      <w:tr w:rsidR="00E44FD5">
        <w:trPr>
          <w:trHeight w:val="240"/>
        </w:trPr>
        <w:tc>
          <w:tcPr>
            <w:tcW w:w="168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0" w:firstLine="0"/>
              <w:jc w:val="left"/>
            </w:pPr>
            <w:r>
              <w:t xml:space="preserve">Total respondents </w:t>
            </w:r>
          </w:p>
        </w:tc>
        <w:tc>
          <w:tcPr>
            <w:tcW w:w="169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1" w:firstLine="0"/>
              <w:jc w:val="center"/>
            </w:pPr>
            <w:r>
              <w:t xml:space="preserve">30 </w:t>
            </w:r>
          </w:p>
        </w:tc>
        <w:tc>
          <w:tcPr>
            <w:tcW w:w="1675"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7" w:firstLine="0"/>
              <w:jc w:val="center"/>
            </w:pPr>
            <w:r>
              <w:t xml:space="preserve">100% </w:t>
            </w:r>
          </w:p>
        </w:tc>
        <w:tc>
          <w:tcPr>
            <w:tcW w:w="1687"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9" w:firstLine="0"/>
              <w:jc w:val="center"/>
            </w:pPr>
            <w:r>
              <w:t xml:space="preserve">30 </w:t>
            </w:r>
          </w:p>
        </w:tc>
        <w:tc>
          <w:tcPr>
            <w:tcW w:w="167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0" w:firstLine="0"/>
              <w:jc w:val="center"/>
            </w:pPr>
            <w:r>
              <w:t xml:space="preserve">100% </w:t>
            </w:r>
          </w:p>
        </w:tc>
      </w:tr>
    </w:tbl>
    <w:p w:rsidR="00E44FD5" w:rsidRDefault="0038505C">
      <w:pPr>
        <w:ind w:left="-5" w:right="0"/>
      </w:pPr>
      <w:r>
        <w:t xml:space="preserve">The table 11.2 shows that among the literate respondents, 16.67%, 53.33%, 23.33% and 6.66% were found very polite, polite rude and very rude whereas 6.67%, 33.33%, 40% and 20% among the illiterate respondents respectively.  </w:t>
      </w:r>
    </w:p>
    <w:p w:rsidR="00E44FD5" w:rsidRDefault="0038505C">
      <w:pPr>
        <w:spacing w:after="177" w:line="259" w:lineRule="auto"/>
        <w:ind w:left="-5" w:right="0"/>
        <w:jc w:val="left"/>
      </w:pPr>
      <w:r>
        <w:rPr>
          <w:b/>
          <w:i/>
        </w:rPr>
        <w:t xml:space="preserve">11.3 Attitude Condition of the Respondents towards Social Values </w:t>
      </w:r>
    </w:p>
    <w:p w:rsidR="00E44FD5" w:rsidRDefault="0038505C">
      <w:pPr>
        <w:ind w:left="-5" w:right="0"/>
      </w:pPr>
      <w:r>
        <w:t xml:space="preserve">The table below shows the attitude towards social values of the respondents. </w:t>
      </w:r>
    </w:p>
    <w:p w:rsidR="00E44FD5" w:rsidRDefault="0038505C">
      <w:pPr>
        <w:pStyle w:val="Heading1"/>
        <w:ind w:left="-5"/>
      </w:pPr>
      <w:r>
        <w:t xml:space="preserve">Table—11.3 Attitude Conditions of the Respondents towards Social Values </w:t>
      </w:r>
    </w:p>
    <w:tbl>
      <w:tblPr>
        <w:tblStyle w:val="TableGrid"/>
        <w:tblW w:w="8417" w:type="dxa"/>
        <w:tblInd w:w="0" w:type="dxa"/>
        <w:tblCellMar>
          <w:top w:w="49" w:type="dxa"/>
          <w:left w:w="17" w:type="dxa"/>
          <w:bottom w:w="0" w:type="dxa"/>
          <w:right w:w="0" w:type="dxa"/>
        </w:tblCellMar>
        <w:tblLook w:val="04A0" w:firstRow="1" w:lastRow="0" w:firstColumn="1" w:lastColumn="0" w:noHBand="0" w:noVBand="1"/>
      </w:tblPr>
      <w:tblGrid>
        <w:gridCol w:w="1679"/>
        <w:gridCol w:w="1690"/>
        <w:gridCol w:w="1678"/>
        <w:gridCol w:w="1692"/>
        <w:gridCol w:w="1678"/>
      </w:tblGrid>
      <w:tr w:rsidR="00E44FD5">
        <w:trPr>
          <w:trHeight w:val="470"/>
        </w:trPr>
        <w:tc>
          <w:tcPr>
            <w:tcW w:w="168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77" w:right="0" w:firstLine="0"/>
              <w:jc w:val="left"/>
            </w:pPr>
            <w:r>
              <w:t xml:space="preserve">Attitude condition </w:t>
            </w:r>
          </w:p>
        </w:tc>
        <w:tc>
          <w:tcPr>
            <w:tcW w:w="169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0" w:firstLine="0"/>
            </w:pPr>
            <w:r>
              <w:t>Literate respondents</w:t>
            </w:r>
            <w:r>
              <w:t xml:space="preserve"> </w:t>
            </w:r>
          </w:p>
        </w:tc>
        <w:tc>
          <w:tcPr>
            <w:tcW w:w="167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1" w:firstLine="0"/>
              <w:jc w:val="center"/>
            </w:pPr>
            <w:r>
              <w:t xml:space="preserve">Percentage </w:t>
            </w:r>
          </w:p>
        </w:tc>
        <w:tc>
          <w:tcPr>
            <w:tcW w:w="1692"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8" w:firstLine="0"/>
              <w:jc w:val="center"/>
            </w:pPr>
            <w:r>
              <w:t xml:space="preserve">Illiterate </w:t>
            </w:r>
          </w:p>
          <w:p w:rsidR="00E44FD5" w:rsidRDefault="0038505C">
            <w:pPr>
              <w:spacing w:after="0" w:line="259" w:lineRule="auto"/>
              <w:ind w:left="0" w:right="50" w:firstLine="0"/>
              <w:jc w:val="center"/>
            </w:pPr>
            <w:r>
              <w:t xml:space="preserve">respondents </w:t>
            </w:r>
          </w:p>
        </w:tc>
        <w:tc>
          <w:tcPr>
            <w:tcW w:w="167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6" w:firstLine="0"/>
              <w:jc w:val="center"/>
            </w:pPr>
            <w:r>
              <w:t xml:space="preserve">Percentage </w:t>
            </w:r>
          </w:p>
        </w:tc>
      </w:tr>
      <w:tr w:rsidR="00E44FD5">
        <w:trPr>
          <w:trHeight w:val="288"/>
        </w:trPr>
        <w:tc>
          <w:tcPr>
            <w:tcW w:w="168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8" w:firstLine="0"/>
              <w:jc w:val="center"/>
            </w:pPr>
            <w:r>
              <w:t xml:space="preserve">Positive attitude </w:t>
            </w:r>
          </w:p>
        </w:tc>
        <w:tc>
          <w:tcPr>
            <w:tcW w:w="169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7" w:firstLine="0"/>
              <w:jc w:val="center"/>
            </w:pPr>
            <w:r>
              <w:t xml:space="preserve">22 </w:t>
            </w:r>
          </w:p>
        </w:tc>
        <w:tc>
          <w:tcPr>
            <w:tcW w:w="167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3" w:firstLine="0"/>
              <w:jc w:val="center"/>
            </w:pPr>
            <w:r>
              <w:t xml:space="preserve">73.33% </w:t>
            </w:r>
          </w:p>
        </w:tc>
        <w:tc>
          <w:tcPr>
            <w:tcW w:w="1692"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9" w:firstLine="0"/>
              <w:jc w:val="center"/>
            </w:pPr>
            <w:r>
              <w:t xml:space="preserve">12 </w:t>
            </w:r>
          </w:p>
        </w:tc>
        <w:tc>
          <w:tcPr>
            <w:tcW w:w="167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0" w:firstLine="0"/>
              <w:jc w:val="center"/>
            </w:pPr>
            <w:r>
              <w:t xml:space="preserve">40% </w:t>
            </w:r>
          </w:p>
        </w:tc>
      </w:tr>
      <w:tr w:rsidR="00E44FD5">
        <w:trPr>
          <w:trHeight w:val="286"/>
        </w:trPr>
        <w:tc>
          <w:tcPr>
            <w:tcW w:w="168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122" w:right="0" w:firstLine="0"/>
              <w:jc w:val="left"/>
            </w:pPr>
            <w:r>
              <w:t xml:space="preserve">Negative attitude  </w:t>
            </w:r>
          </w:p>
        </w:tc>
        <w:tc>
          <w:tcPr>
            <w:tcW w:w="169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7" w:firstLine="0"/>
              <w:jc w:val="center"/>
            </w:pPr>
            <w:r>
              <w:t xml:space="preserve">8 </w:t>
            </w:r>
          </w:p>
        </w:tc>
        <w:tc>
          <w:tcPr>
            <w:tcW w:w="167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3" w:firstLine="0"/>
              <w:jc w:val="center"/>
            </w:pPr>
            <w:r>
              <w:t xml:space="preserve">26.67% </w:t>
            </w:r>
          </w:p>
        </w:tc>
        <w:tc>
          <w:tcPr>
            <w:tcW w:w="1692"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9" w:firstLine="0"/>
              <w:jc w:val="center"/>
            </w:pPr>
            <w:r>
              <w:t xml:space="preserve">18 </w:t>
            </w:r>
          </w:p>
        </w:tc>
        <w:tc>
          <w:tcPr>
            <w:tcW w:w="167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0" w:firstLine="0"/>
              <w:jc w:val="center"/>
            </w:pPr>
            <w:r>
              <w:t xml:space="preserve">60% </w:t>
            </w:r>
          </w:p>
        </w:tc>
      </w:tr>
      <w:tr w:rsidR="00E44FD5">
        <w:trPr>
          <w:trHeight w:val="240"/>
        </w:trPr>
        <w:tc>
          <w:tcPr>
            <w:tcW w:w="168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132" w:right="0" w:firstLine="0"/>
              <w:jc w:val="left"/>
            </w:pPr>
            <w:r>
              <w:t xml:space="preserve">Total respondent </w:t>
            </w:r>
          </w:p>
        </w:tc>
        <w:tc>
          <w:tcPr>
            <w:tcW w:w="1690"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7" w:firstLine="0"/>
              <w:jc w:val="center"/>
            </w:pPr>
            <w:r>
              <w:t xml:space="preserve">30 </w:t>
            </w:r>
          </w:p>
        </w:tc>
        <w:tc>
          <w:tcPr>
            <w:tcW w:w="167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5" w:firstLine="0"/>
              <w:jc w:val="center"/>
            </w:pPr>
            <w:r>
              <w:t xml:space="preserve">100% </w:t>
            </w:r>
          </w:p>
        </w:tc>
        <w:tc>
          <w:tcPr>
            <w:tcW w:w="1692"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49" w:firstLine="0"/>
              <w:jc w:val="center"/>
            </w:pPr>
            <w:r>
              <w:t xml:space="preserve">30 </w:t>
            </w:r>
          </w:p>
        </w:tc>
        <w:tc>
          <w:tcPr>
            <w:tcW w:w="1678" w:type="dxa"/>
            <w:tcBorders>
              <w:top w:val="single" w:sz="4" w:space="0" w:color="000000"/>
              <w:left w:val="single" w:sz="4" w:space="0" w:color="000000"/>
              <w:bottom w:val="single" w:sz="4" w:space="0" w:color="000000"/>
              <w:right w:val="single" w:sz="4" w:space="0" w:color="000000"/>
            </w:tcBorders>
          </w:tcPr>
          <w:p w:rsidR="00E44FD5" w:rsidRDefault="0038505C">
            <w:pPr>
              <w:spacing w:after="0" w:line="259" w:lineRule="auto"/>
              <w:ind w:left="0" w:right="50" w:firstLine="0"/>
              <w:jc w:val="center"/>
            </w:pPr>
            <w:r>
              <w:t xml:space="preserve">100% </w:t>
            </w:r>
          </w:p>
        </w:tc>
      </w:tr>
    </w:tbl>
    <w:p w:rsidR="00E44FD5" w:rsidRDefault="0038505C">
      <w:pPr>
        <w:ind w:left="-5" w:right="0"/>
      </w:pPr>
      <w:r>
        <w:t xml:space="preserve">The table 11.3 shows that 73.33% literate respondents having positive attitude towards social values as against 40% of the illiterate respondents respectively under the study.  </w:t>
      </w:r>
    </w:p>
    <w:p w:rsidR="00E44FD5" w:rsidRDefault="0038505C">
      <w:pPr>
        <w:pStyle w:val="Heading1"/>
        <w:spacing w:after="176"/>
        <w:ind w:left="-5"/>
      </w:pPr>
      <w:r>
        <w:t>12. Recommendations</w:t>
      </w:r>
      <w:r>
        <w:rPr>
          <w:b w:val="0"/>
        </w:rPr>
        <w:t xml:space="preserve"> </w:t>
      </w:r>
    </w:p>
    <w:p w:rsidR="00E44FD5" w:rsidRDefault="0038505C">
      <w:pPr>
        <w:ind w:left="-5" w:right="0"/>
      </w:pPr>
      <w:r>
        <w:t xml:space="preserve">Although Bangladeshis is still wrestling with problems of illiteracy and numeric for masses of its population, it </w:t>
      </w:r>
      <w:proofErr w:type="spellStart"/>
      <w:r>
        <w:t>can not</w:t>
      </w:r>
      <w:proofErr w:type="spellEnd"/>
      <w:r>
        <w:t xml:space="preserve"> afford to neglect the need for Formal education and development of skilled environmental management. Although general education, even </w:t>
      </w:r>
      <w:r>
        <w:t xml:space="preserve">functional literacy may increase social awareness, specific policies for Formal education, including a delivery program that touches the school curriculum at all levels, as well as mobilizing resources in non-formal and informal education programs is </w:t>
      </w:r>
      <w:proofErr w:type="spellStart"/>
      <w:r>
        <w:t xml:space="preserve">over </w:t>
      </w:r>
      <w:r>
        <w:t>due</w:t>
      </w:r>
      <w:proofErr w:type="spellEnd"/>
      <w:r>
        <w:t>. As a major training resource, a leading sector in fostering in research to understand the environment, and a catalyst for new ways of thinking about sustainable development and the ecology of the modern state of Bangladesh universities have a key role</w:t>
      </w:r>
      <w:r>
        <w:t xml:space="preserve"> to play. Although some universities offer specialized for education courses at undergraduate levels, many are lacking in resources. Government education policy has addressed the Formal educational challenges facing the nation, but education and sectarian </w:t>
      </w:r>
      <w:r>
        <w:t xml:space="preserve">policies and plans do not give sufficient weight to problems of ecological sustainability. The following recommendations seek to address this gap.  </w:t>
      </w:r>
    </w:p>
    <w:p w:rsidR="00E44FD5" w:rsidRDefault="0038505C">
      <w:pPr>
        <w:numPr>
          <w:ilvl w:val="0"/>
          <w:numId w:val="2"/>
        </w:numPr>
        <w:ind w:right="0" w:hanging="202"/>
      </w:pPr>
      <w:r>
        <w:t>The government of Bangladesh should develop a strategic approach to Formal education and establish a policy</w:t>
      </w:r>
      <w:r>
        <w:t xml:space="preserve"> framework to support requirements for sustainable development.  </w:t>
      </w:r>
    </w:p>
    <w:p w:rsidR="00E44FD5" w:rsidRDefault="0038505C">
      <w:pPr>
        <w:numPr>
          <w:ilvl w:val="0"/>
          <w:numId w:val="2"/>
        </w:numPr>
        <w:ind w:right="0" w:hanging="202"/>
      </w:pPr>
      <w:r>
        <w:t>Effective policies will enable delivery of Formal education that is tailored to the educational level and the life context of participants, local issues and integrates traditional wisdom. It</w:t>
      </w:r>
      <w:r>
        <w:t xml:space="preserve"> will </w:t>
      </w:r>
      <w:proofErr w:type="gramStart"/>
      <w:r>
        <w:t>enables</w:t>
      </w:r>
      <w:proofErr w:type="gramEnd"/>
      <w:r>
        <w:t xml:space="preserve"> participants to ‘learn by doing’ in their own environment.   </w:t>
      </w:r>
    </w:p>
    <w:p w:rsidR="00E44FD5" w:rsidRDefault="0038505C">
      <w:pPr>
        <w:numPr>
          <w:ilvl w:val="0"/>
          <w:numId w:val="2"/>
        </w:numPr>
        <w:ind w:right="0" w:hanging="202"/>
      </w:pPr>
      <w:r>
        <w:t xml:space="preserve">Existing Formal education curricula for primary and secondary schools needs to be upgraded to clearly indicate the priority issues.  </w:t>
      </w:r>
    </w:p>
    <w:p w:rsidR="00E44FD5" w:rsidRDefault="0038505C">
      <w:pPr>
        <w:numPr>
          <w:ilvl w:val="0"/>
          <w:numId w:val="2"/>
        </w:numPr>
        <w:ind w:right="0" w:hanging="202"/>
      </w:pPr>
      <w:r>
        <w:t>In addition to integration of Formal education</w:t>
      </w:r>
      <w:r>
        <w:t xml:space="preserve"> into the compulsory curriculum school curriculum, lifelong education needs to be encouraged to enable government institutions and the private sector to constantly update knowledge and skills. </w:t>
      </w:r>
    </w:p>
    <w:p w:rsidR="00E44FD5" w:rsidRDefault="0038505C">
      <w:pPr>
        <w:numPr>
          <w:ilvl w:val="0"/>
          <w:numId w:val="2"/>
        </w:numPr>
        <w:ind w:right="0" w:hanging="202"/>
      </w:pPr>
      <w:r>
        <w:t>All sectarian policies, programs and projects should include F</w:t>
      </w:r>
      <w:r>
        <w:t xml:space="preserve">ormal education as well as integral component. </w:t>
      </w:r>
    </w:p>
    <w:p w:rsidR="00E44FD5" w:rsidRDefault="0038505C">
      <w:pPr>
        <w:numPr>
          <w:ilvl w:val="0"/>
          <w:numId w:val="2"/>
        </w:numPr>
        <w:ind w:right="0" w:hanging="202"/>
      </w:pPr>
      <w:r>
        <w:t xml:space="preserve">Integrate Formal education into existing government training programs. </w:t>
      </w:r>
    </w:p>
    <w:p w:rsidR="00E44FD5" w:rsidRDefault="0038505C">
      <w:pPr>
        <w:numPr>
          <w:ilvl w:val="0"/>
          <w:numId w:val="2"/>
        </w:numPr>
        <w:ind w:right="0" w:hanging="202"/>
      </w:pPr>
      <w:r>
        <w:t>To facilitate partnership with NGO’s, the government needs to simplify and minimize rules and regulations and establish transparent proc</w:t>
      </w:r>
      <w:r>
        <w:t xml:space="preserve">edures.  </w:t>
      </w:r>
    </w:p>
    <w:p w:rsidR="00E44FD5" w:rsidRDefault="0038505C">
      <w:pPr>
        <w:numPr>
          <w:ilvl w:val="0"/>
          <w:numId w:val="2"/>
        </w:numPr>
        <w:ind w:right="0" w:hanging="202"/>
      </w:pPr>
      <w:r>
        <w:t xml:space="preserve">Education programs should be designed to facilitate the participation of competent local NGO’s and CBO’s (Community Based Organizations) and not just be biased towards major players. </w:t>
      </w:r>
    </w:p>
    <w:p w:rsidR="00E44FD5" w:rsidRDefault="0038505C">
      <w:pPr>
        <w:spacing w:after="180" w:line="259" w:lineRule="auto"/>
        <w:ind w:left="0" w:right="0" w:firstLine="0"/>
        <w:jc w:val="left"/>
      </w:pPr>
      <w:r>
        <w:rPr>
          <w:b/>
        </w:rPr>
        <w:t xml:space="preserve"> </w:t>
      </w:r>
    </w:p>
    <w:p w:rsidR="00E44FD5" w:rsidRDefault="0038505C">
      <w:pPr>
        <w:pStyle w:val="Heading1"/>
        <w:spacing w:after="173"/>
        <w:ind w:left="-5"/>
      </w:pPr>
      <w:r>
        <w:t xml:space="preserve">13. Conclusion </w:t>
      </w:r>
    </w:p>
    <w:p w:rsidR="00E44FD5" w:rsidRDefault="0038505C">
      <w:pPr>
        <w:ind w:left="-5" w:right="0"/>
      </w:pPr>
      <w:r>
        <w:t>Bangladesh presents unique challenges to the search for ecological sustainable development with a very high population density, a still high population growth rate and limited natural resources. Issues of development and conservation take an added signific</w:t>
      </w:r>
      <w:r>
        <w:t>ance for the country. A significant program of formal education and development of local expertise is needed for massive changes in behavior with respect to the formal education. The formal education system provides a ready framework for reaching a large p</w:t>
      </w:r>
      <w:r>
        <w:t>art of the existing population and can help make future generations conscious of the importance of environmental conservation. Practical approaches that involve the students in solving local environmental problems have more influence, develop skills and gi</w:t>
      </w:r>
      <w:r>
        <w:t xml:space="preserve">ve reinforce to the idea that people can make a difference. Primary school education is the main focus of attention because of the inherent flexibility in curricula enabling infusion of environment into existing subjects and the higher level of enrollment </w:t>
      </w:r>
      <w:r>
        <w:t xml:space="preserve">in primary schools compared to secondary schools. In Bangladesh NGO’s and universities with environmental education departments play a significant role in teachers training and providing materials for formal and non-formal educations. </w:t>
      </w:r>
    </w:p>
    <w:p w:rsidR="00E44FD5" w:rsidRDefault="0038505C">
      <w:pPr>
        <w:ind w:left="-5" w:right="0"/>
      </w:pPr>
      <w:r>
        <w:t>It is clear that gra</w:t>
      </w:r>
      <w:r>
        <w:t>duates from the environmental disciplines should have a significant role the environmentally sustainable development of Bangladesh. Therefore, the government of Bangladesh, national and international organizations should take the initiative to involve form</w:t>
      </w:r>
      <w:r>
        <w:t>al education in the challenges of sustainable national development as well as global sustainability. The study has proved that the formal education has a positive impact on socio-economic issues in Bangladesh context. Literate respondent enjoying better li</w:t>
      </w:r>
      <w:r>
        <w:t>fe including modern equipment than the illiterate respondents and it has been achieved possible for formal education system. The study has successfully done on the basis of the impact measurement on the socio-economic factors of both literate and illiterat</w:t>
      </w:r>
      <w:r>
        <w:t xml:space="preserve">e respondents.  </w:t>
      </w:r>
    </w:p>
    <w:p w:rsidR="00E44FD5" w:rsidRDefault="0038505C">
      <w:pPr>
        <w:spacing w:after="101" w:line="259" w:lineRule="auto"/>
        <w:ind w:left="0" w:right="0" w:firstLine="0"/>
        <w:jc w:val="left"/>
      </w:pPr>
      <w:r>
        <w:rPr>
          <w:b/>
        </w:rPr>
        <w:t xml:space="preserve"> </w:t>
      </w:r>
    </w:p>
    <w:p w:rsidR="00E44FD5" w:rsidRDefault="0038505C">
      <w:pPr>
        <w:spacing w:after="101" w:line="259" w:lineRule="auto"/>
        <w:ind w:left="0" w:right="0" w:firstLine="0"/>
        <w:jc w:val="left"/>
      </w:pPr>
      <w:r>
        <w:rPr>
          <w:b/>
        </w:rPr>
        <w:t xml:space="preserve"> </w:t>
      </w:r>
    </w:p>
    <w:p w:rsidR="00E44FD5" w:rsidRDefault="0038505C">
      <w:pPr>
        <w:spacing w:after="101" w:line="259" w:lineRule="auto"/>
        <w:ind w:left="0" w:right="0" w:firstLine="0"/>
        <w:jc w:val="left"/>
      </w:pPr>
      <w:r>
        <w:rPr>
          <w:b/>
        </w:rPr>
        <w:t xml:space="preserve"> </w:t>
      </w:r>
    </w:p>
    <w:p w:rsidR="00E44FD5" w:rsidRDefault="0038505C">
      <w:pPr>
        <w:spacing w:after="101" w:line="259" w:lineRule="auto"/>
        <w:ind w:left="0" w:right="0" w:firstLine="0"/>
        <w:jc w:val="left"/>
      </w:pPr>
      <w:r>
        <w:rPr>
          <w:b/>
        </w:rPr>
        <w:t xml:space="preserve"> </w:t>
      </w:r>
    </w:p>
    <w:p w:rsidR="00E44FD5" w:rsidRDefault="0038505C">
      <w:pPr>
        <w:spacing w:after="101" w:line="259" w:lineRule="auto"/>
        <w:ind w:left="0" w:right="0" w:firstLine="0"/>
        <w:jc w:val="left"/>
      </w:pPr>
      <w:r>
        <w:rPr>
          <w:b/>
        </w:rPr>
        <w:t xml:space="preserve"> </w:t>
      </w:r>
    </w:p>
    <w:p w:rsidR="00E44FD5" w:rsidRDefault="0038505C">
      <w:pPr>
        <w:spacing w:after="99" w:line="259" w:lineRule="auto"/>
        <w:ind w:left="0" w:right="0" w:firstLine="0"/>
        <w:jc w:val="left"/>
      </w:pPr>
      <w:r>
        <w:rPr>
          <w:b/>
        </w:rPr>
        <w:t xml:space="preserve"> </w:t>
      </w:r>
    </w:p>
    <w:p w:rsidR="00E44FD5" w:rsidRDefault="0038505C">
      <w:pPr>
        <w:spacing w:after="101" w:line="259" w:lineRule="auto"/>
        <w:ind w:left="0" w:right="0" w:firstLine="0"/>
        <w:jc w:val="left"/>
      </w:pPr>
      <w:r>
        <w:rPr>
          <w:b/>
        </w:rPr>
        <w:t xml:space="preserve"> </w:t>
      </w:r>
    </w:p>
    <w:p w:rsidR="00E44FD5" w:rsidRDefault="0038505C">
      <w:pPr>
        <w:spacing w:after="101" w:line="259" w:lineRule="auto"/>
        <w:ind w:left="0" w:right="0" w:firstLine="0"/>
        <w:jc w:val="left"/>
      </w:pPr>
      <w:r>
        <w:rPr>
          <w:b/>
        </w:rPr>
        <w:t xml:space="preserve"> </w:t>
      </w:r>
    </w:p>
    <w:p w:rsidR="00E44FD5" w:rsidRDefault="0038505C">
      <w:pPr>
        <w:pStyle w:val="Heading1"/>
        <w:spacing w:after="123"/>
        <w:ind w:left="-5"/>
      </w:pPr>
      <w:r>
        <w:t>References</w:t>
      </w:r>
      <w:r>
        <w:rPr>
          <w:b w:val="0"/>
        </w:rPr>
        <w:t xml:space="preserve"> </w:t>
      </w:r>
    </w:p>
    <w:p w:rsidR="00E44FD5" w:rsidRDefault="0038505C">
      <w:pPr>
        <w:numPr>
          <w:ilvl w:val="0"/>
          <w:numId w:val="3"/>
        </w:numPr>
        <w:spacing w:after="113" w:line="251" w:lineRule="auto"/>
        <w:ind w:right="0" w:hanging="590"/>
      </w:pPr>
      <w:r>
        <w:t xml:space="preserve">Mallik, A.R. (1999), </w:t>
      </w:r>
      <w:r>
        <w:rPr>
          <w:i/>
        </w:rPr>
        <w:t>British Policy and Muslim of Bengal,</w:t>
      </w:r>
      <w:r>
        <w:t xml:space="preserve"> p. 169.  </w:t>
      </w:r>
    </w:p>
    <w:p w:rsidR="00E44FD5" w:rsidRDefault="0038505C">
      <w:pPr>
        <w:numPr>
          <w:ilvl w:val="0"/>
          <w:numId w:val="3"/>
        </w:numPr>
        <w:spacing w:after="140"/>
        <w:ind w:right="0" w:hanging="590"/>
      </w:pPr>
      <w:proofErr w:type="spellStart"/>
      <w:r>
        <w:t>Azia</w:t>
      </w:r>
      <w:proofErr w:type="spellEnd"/>
      <w:r>
        <w:t xml:space="preserve">, A. et. al., (2009), </w:t>
      </w:r>
      <w:r>
        <w:rPr>
          <w:i/>
        </w:rPr>
        <w:t>Introducing Primary Education</w:t>
      </w:r>
      <w:r>
        <w:t xml:space="preserve">, C-10-AD, Dhaka, National Primary Education </w:t>
      </w:r>
      <w:proofErr w:type="spellStart"/>
      <w:r>
        <w:t>Adhidoptor</w:t>
      </w:r>
      <w:proofErr w:type="spellEnd"/>
      <w:r>
        <w:t xml:space="preserve">, Bangladesh. p.13. </w:t>
      </w:r>
    </w:p>
    <w:p w:rsidR="00E44FD5" w:rsidRDefault="0038505C">
      <w:pPr>
        <w:numPr>
          <w:ilvl w:val="0"/>
          <w:numId w:val="3"/>
        </w:numPr>
        <w:spacing w:after="142"/>
        <w:ind w:right="0" w:hanging="590"/>
      </w:pPr>
      <w:proofErr w:type="spellStart"/>
      <w:r>
        <w:t>Aminuzzaman</w:t>
      </w:r>
      <w:proofErr w:type="spellEnd"/>
      <w:r>
        <w:t xml:space="preserve">, S. M. (2004). </w:t>
      </w:r>
      <w:r>
        <w:rPr>
          <w:i/>
        </w:rPr>
        <w:t xml:space="preserve">Introduction to Social Research, </w:t>
      </w:r>
      <w:r>
        <w:t xml:space="preserve">Dhaka: Bangladesh Publishers. </w:t>
      </w:r>
    </w:p>
    <w:p w:rsidR="00E44FD5" w:rsidRDefault="0038505C">
      <w:pPr>
        <w:numPr>
          <w:ilvl w:val="0"/>
          <w:numId w:val="3"/>
        </w:numPr>
        <w:spacing w:after="115"/>
        <w:ind w:right="0" w:hanging="590"/>
      </w:pPr>
      <w:r>
        <w:t>al=</w:t>
      </w:r>
      <w:proofErr w:type="spellStart"/>
      <w:r>
        <w:t>en&amp;q</w:t>
      </w:r>
      <w:proofErr w:type="spellEnd"/>
      <w:r>
        <w:t>=</w:t>
      </w:r>
      <w:proofErr w:type="spellStart"/>
      <w:r>
        <w:t>primary+education+in+Bangladesh.h&amp;meta</w:t>
      </w:r>
      <w:proofErr w:type="spellEnd"/>
      <w:r>
        <w:t xml:space="preserve">= </w:t>
      </w:r>
    </w:p>
    <w:p w:rsidR="00E44FD5" w:rsidRDefault="0038505C">
      <w:pPr>
        <w:numPr>
          <w:ilvl w:val="0"/>
          <w:numId w:val="3"/>
        </w:numPr>
        <w:spacing w:after="139"/>
        <w:ind w:right="0" w:hanging="590"/>
      </w:pPr>
      <w:proofErr w:type="spellStart"/>
      <w:r>
        <w:t>Curle</w:t>
      </w:r>
      <w:proofErr w:type="spellEnd"/>
      <w:r>
        <w:t xml:space="preserve">, A. (2008) </w:t>
      </w:r>
      <w:r>
        <w:rPr>
          <w:i/>
        </w:rPr>
        <w:t xml:space="preserve">Planning for Education in Pakistan, </w:t>
      </w:r>
      <w:r>
        <w:t xml:space="preserve">London: </w:t>
      </w:r>
      <w:proofErr w:type="spellStart"/>
      <w:r>
        <w:t>Tavistock</w:t>
      </w:r>
      <w:proofErr w:type="spellEnd"/>
      <w:r>
        <w:t xml:space="preserve"> Publications Limited, p. 75. </w:t>
      </w:r>
    </w:p>
    <w:p w:rsidR="00E44FD5" w:rsidRDefault="0038505C">
      <w:pPr>
        <w:numPr>
          <w:ilvl w:val="0"/>
          <w:numId w:val="3"/>
        </w:numPr>
        <w:spacing w:after="113"/>
        <w:ind w:right="0" w:hanging="590"/>
      </w:pPr>
      <w:r>
        <w:t>Mia, A.H. (2007</w:t>
      </w:r>
      <w:r>
        <w:t xml:space="preserve">), </w:t>
      </w:r>
      <w:proofErr w:type="spellStart"/>
      <w:r>
        <w:rPr>
          <w:i/>
        </w:rPr>
        <w:t>Anada</w:t>
      </w:r>
      <w:proofErr w:type="spellEnd"/>
      <w:r>
        <w:rPr>
          <w:i/>
        </w:rPr>
        <w:t xml:space="preserve"> Bihar</w:t>
      </w:r>
      <w:r>
        <w:t xml:space="preserve">, </w:t>
      </w:r>
      <w:proofErr w:type="spellStart"/>
      <w:r>
        <w:t>Maynamati</w:t>
      </w:r>
      <w:proofErr w:type="spellEnd"/>
      <w:r>
        <w:t xml:space="preserve">, Comilla, p. 35. </w:t>
      </w:r>
    </w:p>
    <w:p w:rsidR="00E44FD5" w:rsidRDefault="0038505C">
      <w:pPr>
        <w:numPr>
          <w:ilvl w:val="0"/>
          <w:numId w:val="3"/>
        </w:numPr>
        <w:spacing w:after="113"/>
        <w:ind w:right="0" w:hanging="590"/>
      </w:pPr>
      <w:proofErr w:type="spellStart"/>
      <w:r>
        <w:t>Kamrunnesa</w:t>
      </w:r>
      <w:proofErr w:type="spellEnd"/>
      <w:r>
        <w:t xml:space="preserve"> &amp; Salma, A. (1987), </w:t>
      </w:r>
      <w:r>
        <w:rPr>
          <w:i/>
        </w:rPr>
        <w:t>Primary Education: Bangladesh,</w:t>
      </w:r>
      <w:r>
        <w:t xml:space="preserve"> Institute of Education and Research, Dhaka University. </w:t>
      </w:r>
    </w:p>
    <w:p w:rsidR="00E44FD5" w:rsidRDefault="0038505C">
      <w:pPr>
        <w:numPr>
          <w:ilvl w:val="0"/>
          <w:numId w:val="3"/>
        </w:numPr>
        <w:spacing w:after="139"/>
        <w:ind w:right="0" w:hanging="590"/>
      </w:pPr>
      <w:proofErr w:type="spellStart"/>
      <w:r>
        <w:t>Naila</w:t>
      </w:r>
      <w:proofErr w:type="spellEnd"/>
      <w:r>
        <w:t xml:space="preserve">, K., Geetha, B. &amp; </w:t>
      </w:r>
      <w:proofErr w:type="spellStart"/>
      <w:r>
        <w:t>Subrahmanian</w:t>
      </w:r>
      <w:proofErr w:type="spellEnd"/>
      <w:r>
        <w:t xml:space="preserve">, N.R. (eds.), (2003), </w:t>
      </w:r>
      <w:r>
        <w:rPr>
          <w:i/>
        </w:rPr>
        <w:t xml:space="preserve">Child </w:t>
      </w:r>
      <w:proofErr w:type="spellStart"/>
      <w:r>
        <w:rPr>
          <w:i/>
        </w:rPr>
        <w:t>Labour</w:t>
      </w:r>
      <w:proofErr w:type="spellEnd"/>
      <w:r>
        <w:rPr>
          <w:i/>
        </w:rPr>
        <w:t xml:space="preserve"> and the Right to Educa</w:t>
      </w:r>
      <w:r>
        <w:rPr>
          <w:i/>
        </w:rPr>
        <w:t xml:space="preserve">tion in South Asia: Needs Versus Rights? </w:t>
      </w:r>
      <w:r>
        <w:t xml:space="preserve">New Delhi: Sage Publications, p. 292. </w:t>
      </w:r>
    </w:p>
    <w:p w:rsidR="00E44FD5" w:rsidRDefault="0038505C">
      <w:pPr>
        <w:numPr>
          <w:ilvl w:val="0"/>
          <w:numId w:val="3"/>
        </w:numPr>
        <w:spacing w:after="115"/>
        <w:ind w:right="0" w:hanging="590"/>
      </w:pPr>
      <w:r>
        <w:t xml:space="preserve">Mohsin, K.M. (1980), </w:t>
      </w:r>
      <w:proofErr w:type="spellStart"/>
      <w:r>
        <w:rPr>
          <w:i/>
        </w:rPr>
        <w:t>Itihas</w:t>
      </w:r>
      <w:proofErr w:type="spellEnd"/>
      <w:r>
        <w:rPr>
          <w:i/>
        </w:rPr>
        <w:t xml:space="preserve"> Samity </w:t>
      </w:r>
      <w:proofErr w:type="spellStart"/>
      <w:r>
        <w:rPr>
          <w:i/>
        </w:rPr>
        <w:t>Potrika</w:t>
      </w:r>
      <w:proofErr w:type="spellEnd"/>
      <w:r>
        <w:rPr>
          <w:i/>
        </w:rPr>
        <w:t>, Vol, 9</w:t>
      </w:r>
      <w:r>
        <w:t xml:space="preserve">. Dhaka, p. 35. </w:t>
      </w:r>
    </w:p>
    <w:p w:rsidR="00E44FD5" w:rsidRDefault="0038505C">
      <w:pPr>
        <w:numPr>
          <w:ilvl w:val="0"/>
          <w:numId w:val="3"/>
        </w:numPr>
        <w:spacing w:after="113"/>
        <w:ind w:right="0" w:hanging="590"/>
      </w:pPr>
      <w:r>
        <w:rPr>
          <w:i/>
        </w:rPr>
        <w:t>Journal of Historical Research</w:t>
      </w:r>
      <w:r>
        <w:t xml:space="preserve">, 2003 (1), Vol-1, Department of History University of </w:t>
      </w:r>
      <w:proofErr w:type="spellStart"/>
      <w:r>
        <w:t>Rajshahi</w:t>
      </w:r>
      <w:proofErr w:type="spellEnd"/>
      <w:r>
        <w:t xml:space="preserve">, pp.67-68. </w:t>
      </w:r>
    </w:p>
    <w:p w:rsidR="00E44FD5" w:rsidRDefault="0038505C">
      <w:pPr>
        <w:numPr>
          <w:ilvl w:val="0"/>
          <w:numId w:val="3"/>
        </w:numPr>
        <w:spacing w:after="113"/>
        <w:ind w:right="0" w:hanging="590"/>
      </w:pPr>
      <w:r>
        <w:t xml:space="preserve">Banerjee, J.P. (1981), </w:t>
      </w:r>
      <w:r>
        <w:rPr>
          <w:i/>
        </w:rPr>
        <w:t>Education in India Past: Present: Future</w:t>
      </w:r>
      <w:r>
        <w:t xml:space="preserve">, Revised Edition, Volume-1, Calcutta: Sri </w:t>
      </w:r>
      <w:proofErr w:type="spellStart"/>
      <w:r>
        <w:t>Jagadhatri</w:t>
      </w:r>
      <w:proofErr w:type="spellEnd"/>
      <w:r>
        <w:t xml:space="preserve"> Press, p. 19.  </w:t>
      </w:r>
    </w:p>
    <w:p w:rsidR="00E44FD5" w:rsidRDefault="0038505C">
      <w:pPr>
        <w:numPr>
          <w:ilvl w:val="0"/>
          <w:numId w:val="3"/>
        </w:numPr>
        <w:spacing w:after="137"/>
        <w:ind w:right="0" w:hanging="590"/>
      </w:pPr>
      <w:r>
        <w:t xml:space="preserve">Naik, J.P. (1975), Elementary Education in India, New Delhi: Allied Publishers Private Limited, First Edition, p. 7. </w:t>
      </w:r>
    </w:p>
    <w:p w:rsidR="00E44FD5" w:rsidRDefault="0038505C">
      <w:pPr>
        <w:numPr>
          <w:ilvl w:val="0"/>
          <w:numId w:val="3"/>
        </w:numPr>
        <w:spacing w:after="115"/>
        <w:ind w:right="0" w:hanging="590"/>
      </w:pPr>
      <w:proofErr w:type="spellStart"/>
      <w:proofErr w:type="gramStart"/>
      <w:r>
        <w:t>Inter</w:t>
      </w:r>
      <w:r>
        <w:t>net:http</w:t>
      </w:r>
      <w:proofErr w:type="spellEnd"/>
      <w:r>
        <w:t>://</w:t>
      </w:r>
      <w:proofErr w:type="spellStart"/>
      <w:r>
        <w:t>in.staford.du</w:t>
      </w:r>
      <w:proofErr w:type="spellEnd"/>
      <w:r>
        <w:t>/rose/field/resources/primary%20</w:t>
      </w:r>
      <w:proofErr w:type="gramEnd"/>
      <w:r>
        <w:t xml:space="preserve">. </w:t>
      </w:r>
    </w:p>
    <w:p w:rsidR="00E44FD5" w:rsidRDefault="0038505C">
      <w:pPr>
        <w:numPr>
          <w:ilvl w:val="0"/>
          <w:numId w:val="3"/>
        </w:numPr>
        <w:spacing w:after="110"/>
        <w:ind w:right="0" w:hanging="590"/>
      </w:pPr>
      <w:r>
        <w:t xml:space="preserve">Shah </w:t>
      </w:r>
      <w:proofErr w:type="spellStart"/>
      <w:r>
        <w:t>Newaj</w:t>
      </w:r>
      <w:proofErr w:type="spellEnd"/>
      <w:r>
        <w:t xml:space="preserve">, A.K.M. (2003), </w:t>
      </w:r>
      <w:r>
        <w:rPr>
          <w:i/>
        </w:rPr>
        <w:t>History of South Asia,</w:t>
      </w:r>
      <w:r>
        <w:t xml:space="preserve"> Dhaka, Protic </w:t>
      </w:r>
      <w:proofErr w:type="spellStart"/>
      <w:r>
        <w:t>Pulishing</w:t>
      </w:r>
      <w:proofErr w:type="spellEnd"/>
      <w:r>
        <w:t xml:space="preserve"> </w:t>
      </w:r>
      <w:proofErr w:type="spellStart"/>
      <w:r>
        <w:t>Sangstha</w:t>
      </w:r>
      <w:proofErr w:type="spellEnd"/>
      <w:r>
        <w:t xml:space="preserve">, p. 63. </w:t>
      </w:r>
    </w:p>
    <w:p w:rsidR="00E44FD5" w:rsidRDefault="0038505C">
      <w:pPr>
        <w:numPr>
          <w:ilvl w:val="0"/>
          <w:numId w:val="3"/>
        </w:numPr>
        <w:ind w:right="0" w:hanging="590"/>
      </w:pPr>
      <w:r>
        <w:rPr>
          <w:i/>
        </w:rPr>
        <w:t xml:space="preserve">Improving the Quality of Primary Education in Bangladesh: A Strategy Investment Plan, </w:t>
      </w:r>
      <w:r>
        <w:t>Primary School Perf</w:t>
      </w:r>
      <w:r>
        <w:t xml:space="preserve">ormance Monitoring Project and the Government of Bangladesh (December 2001). p.36. </w:t>
      </w:r>
    </w:p>
    <w:p w:rsidR="00E44FD5" w:rsidRDefault="0038505C">
      <w:pPr>
        <w:numPr>
          <w:ilvl w:val="0"/>
          <w:numId w:val="3"/>
        </w:numPr>
        <w:spacing w:after="9"/>
        <w:ind w:right="0" w:hanging="590"/>
      </w:pPr>
      <w:r>
        <w:t xml:space="preserve">GOB, Ministry of Education, Bangladesh National Education Commission Report 2007 </w:t>
      </w:r>
    </w:p>
    <w:p w:rsidR="00E44FD5" w:rsidRDefault="0038505C">
      <w:pPr>
        <w:spacing w:after="110"/>
        <w:ind w:left="550" w:right="0"/>
      </w:pPr>
      <w:r>
        <w:t xml:space="preserve">(Unofficial English Translation). p.31. </w:t>
      </w:r>
    </w:p>
    <w:p w:rsidR="00E44FD5" w:rsidRDefault="0038505C">
      <w:pPr>
        <w:numPr>
          <w:ilvl w:val="0"/>
          <w:numId w:val="3"/>
        </w:numPr>
        <w:spacing w:after="113"/>
        <w:ind w:right="0" w:hanging="590"/>
      </w:pPr>
      <w:r>
        <w:rPr>
          <w:i/>
        </w:rPr>
        <w:t>Bangladesh Education sector Review</w:t>
      </w:r>
      <w:r>
        <w:t>, (2002), Volum</w:t>
      </w:r>
      <w:r>
        <w:t xml:space="preserve">es-I, II, 37, the World Bank and the University Press Limited. </w:t>
      </w:r>
    </w:p>
    <w:p w:rsidR="00E44FD5" w:rsidRDefault="0038505C">
      <w:pPr>
        <w:numPr>
          <w:ilvl w:val="0"/>
          <w:numId w:val="3"/>
        </w:numPr>
        <w:spacing w:after="110"/>
        <w:ind w:right="0" w:hanging="590"/>
      </w:pPr>
      <w:r>
        <w:t xml:space="preserve">Bangladesh Education sector Review, (2002), Report No. 1: Overview of the Basic Education Sector, Prepared by the Basic Education and Policy Support Activity for USAID, p.22. </w:t>
      </w:r>
    </w:p>
    <w:p w:rsidR="00E44FD5" w:rsidRDefault="0038505C">
      <w:pPr>
        <w:numPr>
          <w:ilvl w:val="0"/>
          <w:numId w:val="3"/>
        </w:numPr>
        <w:spacing w:after="113"/>
        <w:ind w:right="0" w:hanging="590"/>
      </w:pPr>
      <w:r>
        <w:t xml:space="preserve">Karim, A.K.M. (1967), </w:t>
      </w:r>
      <w:r>
        <w:rPr>
          <w:i/>
        </w:rPr>
        <w:t>Primary Education in East Pakistan</w:t>
      </w:r>
      <w:r>
        <w:t xml:space="preserve">, Education for All, Papers and Proceedings of the Symposia, East Pakistan Education Week 1966-67, Edited by </w:t>
      </w:r>
      <w:proofErr w:type="spellStart"/>
      <w:r>
        <w:t>Sharafuddin</w:t>
      </w:r>
      <w:proofErr w:type="spellEnd"/>
      <w:r>
        <w:t>, A. Al-</w:t>
      </w:r>
      <w:proofErr w:type="spellStart"/>
      <w:r>
        <w:t>Muti</w:t>
      </w:r>
      <w:proofErr w:type="spellEnd"/>
      <w:r>
        <w:t xml:space="preserve">, Dacca, pp. 50-71. </w:t>
      </w:r>
    </w:p>
    <w:p w:rsidR="00E44FD5" w:rsidRDefault="0038505C">
      <w:pPr>
        <w:numPr>
          <w:ilvl w:val="0"/>
          <w:numId w:val="3"/>
        </w:numPr>
        <w:spacing w:after="113"/>
        <w:ind w:right="0" w:hanging="590"/>
      </w:pPr>
      <w:r>
        <w:t>Fifth Five Year Plan, (1998), Planning commissi</w:t>
      </w:r>
      <w:r>
        <w:t xml:space="preserve">on, planning ministry, The people’s republic </w:t>
      </w:r>
      <w:proofErr w:type="gramStart"/>
      <w:r>
        <w:t>of  Bangladesh</w:t>
      </w:r>
      <w:proofErr w:type="gramEnd"/>
      <w:r>
        <w:t xml:space="preserve">, Dhaka, p.5.   </w:t>
      </w:r>
    </w:p>
    <w:p w:rsidR="00E44FD5" w:rsidRDefault="0038505C">
      <w:pPr>
        <w:spacing w:after="99" w:line="259" w:lineRule="auto"/>
        <w:ind w:left="0" w:right="0" w:firstLine="0"/>
        <w:jc w:val="left"/>
      </w:pPr>
      <w:r>
        <w:t xml:space="preserve"> </w:t>
      </w:r>
    </w:p>
    <w:p w:rsidR="00E44FD5" w:rsidRDefault="0038505C">
      <w:pPr>
        <w:spacing w:after="113"/>
        <w:ind w:left="-5" w:right="0"/>
      </w:pPr>
      <w:r>
        <w:t xml:space="preserve">Md. Abdul </w:t>
      </w:r>
      <w:proofErr w:type="spellStart"/>
      <w:r>
        <w:t>Kafi</w:t>
      </w:r>
      <w:proofErr w:type="spellEnd"/>
      <w:r>
        <w:t xml:space="preserve"> is </w:t>
      </w:r>
      <w:proofErr w:type="spellStart"/>
      <w:proofErr w:type="gramStart"/>
      <w:r>
        <w:t>Ph.D</w:t>
      </w:r>
      <w:proofErr w:type="spellEnd"/>
      <w:proofErr w:type="gramEnd"/>
      <w:r>
        <w:t xml:space="preserve"> Research Fellow, Institute of Education and Research, </w:t>
      </w:r>
      <w:proofErr w:type="spellStart"/>
      <w:r>
        <w:t>Rajshahi</w:t>
      </w:r>
      <w:proofErr w:type="spellEnd"/>
      <w:r>
        <w:t xml:space="preserve"> University, Bangladesh. He received his bachelor of science (</w:t>
      </w:r>
      <w:proofErr w:type="spellStart"/>
      <w:proofErr w:type="gramStart"/>
      <w:r>
        <w:t>B.Sc</w:t>
      </w:r>
      <w:proofErr w:type="spellEnd"/>
      <w:proofErr w:type="gramEnd"/>
      <w:r>
        <w:t>) Hon’s in 1999 and Master of science (</w:t>
      </w:r>
      <w:proofErr w:type="spellStart"/>
      <w:r>
        <w:t>M.Sc</w:t>
      </w:r>
      <w:proofErr w:type="spellEnd"/>
      <w:r>
        <w:t>) in 2001 in Mathematics from National University. His researc</w:t>
      </w:r>
      <w:r>
        <w:t xml:space="preserve">h interests are in the area of education (specially in female education).   </w:t>
      </w:r>
    </w:p>
    <w:p w:rsidR="00E44FD5" w:rsidRDefault="0038505C">
      <w:pPr>
        <w:spacing w:after="9"/>
        <w:ind w:left="-5" w:right="0"/>
      </w:pPr>
      <w:r>
        <w:t xml:space="preserve">Md Afzal Hossain is </w:t>
      </w:r>
      <w:proofErr w:type="spellStart"/>
      <w:proofErr w:type="gramStart"/>
      <w:r>
        <w:t>M.Phil</w:t>
      </w:r>
      <w:proofErr w:type="spellEnd"/>
      <w:proofErr w:type="gramEnd"/>
      <w:r>
        <w:t xml:space="preserve"> Research Fellow, Institute of Education and Research, </w:t>
      </w:r>
      <w:proofErr w:type="spellStart"/>
      <w:r>
        <w:t>Rajshahi</w:t>
      </w:r>
      <w:proofErr w:type="spellEnd"/>
      <w:r>
        <w:t xml:space="preserve"> </w:t>
      </w:r>
    </w:p>
    <w:p w:rsidR="00E44FD5" w:rsidRDefault="0038505C">
      <w:pPr>
        <w:spacing w:after="0"/>
        <w:ind w:left="-5" w:right="0"/>
      </w:pPr>
      <w:r>
        <w:t>University, Rajshahi-6205, Bangladesh. He received his bachelor of social science (B.S.S</w:t>
      </w:r>
      <w:r>
        <w:t xml:space="preserve">) Hon’s in 2006 and Master of social science (M.S.S) in 2007 in Social Work from </w:t>
      </w:r>
      <w:proofErr w:type="spellStart"/>
      <w:r>
        <w:t>Rajshahi</w:t>
      </w:r>
      <w:proofErr w:type="spellEnd"/>
      <w:r>
        <w:t xml:space="preserve"> University. He is now involving area of research. His research interests are in the area of education, health and elderly people. </w:t>
      </w:r>
      <w:r>
        <w:rPr>
          <w:sz w:val="18"/>
        </w:rPr>
        <w:t xml:space="preserve">E-mail: </w:t>
      </w:r>
      <w:r>
        <w:rPr>
          <w:color w:val="0000FF"/>
          <w:sz w:val="18"/>
          <w:u w:val="single" w:color="0000FF"/>
        </w:rPr>
        <w:t>hossainafzal37@yahoo.com</w:t>
      </w:r>
      <w:r>
        <w:rPr>
          <w:sz w:val="18"/>
        </w:rPr>
        <w:t xml:space="preserve"> </w:t>
      </w:r>
    </w:p>
    <w:p w:rsidR="00E44FD5" w:rsidRDefault="00E44FD5">
      <w:pPr>
        <w:sectPr w:rsidR="00E44FD5">
          <w:headerReference w:type="even" r:id="rId7"/>
          <w:headerReference w:type="default" r:id="rId8"/>
          <w:footerReference w:type="even" r:id="rId9"/>
          <w:footerReference w:type="default" r:id="rId10"/>
          <w:headerReference w:type="first" r:id="rId11"/>
          <w:footerReference w:type="first" r:id="rId12"/>
          <w:pgSz w:w="11900" w:h="16840"/>
          <w:pgMar w:top="2122" w:right="1788" w:bottom="1461" w:left="1800" w:header="1197" w:footer="876" w:gutter="0"/>
          <w:cols w:space="720"/>
        </w:sectPr>
      </w:pPr>
    </w:p>
    <w:p w:rsidR="00E44FD5" w:rsidRDefault="0038505C">
      <w:pPr>
        <w:spacing w:after="0" w:line="274" w:lineRule="auto"/>
        <w:ind w:left="-5" w:right="0"/>
      </w:pPr>
      <w:r>
        <w:rPr>
          <w:sz w:val="24"/>
        </w:rPr>
        <w:t>This academic article was published by The International Institute for Science, Technology and Education (IISTE).  The IISTE is a pioneer in the Open Access Publishi</w:t>
      </w:r>
      <w:r>
        <w:rPr>
          <w:sz w:val="24"/>
        </w:rPr>
        <w:t xml:space="preserve">ng service based in the U.S. and Europe.  The aim of the institute is Accelerating Global Knowledge Sharing. </w:t>
      </w:r>
    </w:p>
    <w:p w:rsidR="00E44FD5" w:rsidRDefault="0038505C">
      <w:pPr>
        <w:spacing w:after="0" w:line="259" w:lineRule="auto"/>
        <w:ind w:left="0" w:right="0" w:firstLine="0"/>
        <w:jc w:val="left"/>
      </w:pPr>
      <w:r>
        <w:rPr>
          <w:sz w:val="24"/>
        </w:rPr>
        <w:t xml:space="preserve"> </w:t>
      </w:r>
    </w:p>
    <w:p w:rsidR="00E44FD5" w:rsidRDefault="0038505C">
      <w:pPr>
        <w:spacing w:after="0" w:line="274" w:lineRule="auto"/>
        <w:ind w:left="-5" w:right="0"/>
      </w:pPr>
      <w:r>
        <w:rPr>
          <w:sz w:val="24"/>
        </w:rPr>
        <w:t xml:space="preserve">More information about the publisher can be found in the IISTE’s homepage:  </w:t>
      </w:r>
      <w:hyperlink r:id="rId13">
        <w:r>
          <w:rPr>
            <w:color w:val="0000FF"/>
            <w:sz w:val="24"/>
            <w:u w:val="single" w:color="0000FF"/>
          </w:rPr>
          <w:t>http://www.iiste.org</w:t>
        </w:r>
      </w:hyperlink>
      <w:hyperlink r:id="rId14">
        <w:r>
          <w:rPr>
            <w:sz w:val="24"/>
          </w:rPr>
          <w:t xml:space="preserve"> </w:t>
        </w:r>
      </w:hyperlink>
    </w:p>
    <w:p w:rsidR="00E44FD5" w:rsidRDefault="0038505C">
      <w:pPr>
        <w:spacing w:after="218" w:line="259" w:lineRule="auto"/>
        <w:ind w:left="0" w:right="0" w:firstLine="0"/>
        <w:jc w:val="left"/>
      </w:pPr>
      <w:r>
        <w:rPr>
          <w:sz w:val="24"/>
        </w:rPr>
        <w:t xml:space="preserve"> </w:t>
      </w:r>
    </w:p>
    <w:p w:rsidR="00E44FD5" w:rsidRDefault="0038505C">
      <w:pPr>
        <w:spacing w:after="201" w:line="274" w:lineRule="auto"/>
        <w:ind w:left="-5" w:right="0"/>
      </w:pPr>
      <w:r>
        <w:rPr>
          <w:sz w:val="24"/>
        </w:rPr>
        <w:t xml:space="preserve">The IISTE is currently hosting more than 30 peer-reviewed academic journals and collaborating with academic institutions around the world.   </w:t>
      </w:r>
      <w:r>
        <w:rPr>
          <w:b/>
          <w:sz w:val="24"/>
        </w:rPr>
        <w:t>Prospective authors of IISTE journals can find the submission instructio</w:t>
      </w:r>
      <w:r>
        <w:rPr>
          <w:b/>
          <w:sz w:val="24"/>
        </w:rPr>
        <w:t xml:space="preserve">n on the following page: </w:t>
      </w:r>
      <w:hyperlink r:id="rId15">
        <w:r>
          <w:rPr>
            <w:color w:val="0000FF"/>
            <w:sz w:val="24"/>
            <w:u w:val="single" w:color="0000FF"/>
          </w:rPr>
          <w:t>http://www.iiste.org/Journals/</w:t>
        </w:r>
      </w:hyperlink>
      <w:hyperlink r:id="rId16">
        <w:r>
          <w:rPr>
            <w:sz w:val="24"/>
          </w:rPr>
          <w:t xml:space="preserve"> </w:t>
        </w:r>
      </w:hyperlink>
    </w:p>
    <w:p w:rsidR="00E44FD5" w:rsidRDefault="0038505C">
      <w:pPr>
        <w:spacing w:after="203" w:line="274" w:lineRule="auto"/>
        <w:ind w:left="-5" w:right="0"/>
      </w:pPr>
      <w:r>
        <w:rPr>
          <w:sz w:val="24"/>
        </w:rPr>
        <w:t xml:space="preserve">The IISTE editorial team promises to the review and publish all the qualified submissions </w:t>
      </w:r>
      <w:r>
        <w:rPr>
          <w:sz w:val="24"/>
        </w:rPr>
        <w:t>in a fast manner. All the journals articles are available online to the readers all over the world without financial, legal, or technical barriers other than those inseparable from gaining access to the internet itself. Printed version of the journals is a</w:t>
      </w:r>
      <w:r>
        <w:rPr>
          <w:sz w:val="24"/>
        </w:rPr>
        <w:t xml:space="preserve">lso available upon request of readers and authors.  </w:t>
      </w:r>
    </w:p>
    <w:p w:rsidR="00E44FD5" w:rsidRDefault="0038505C">
      <w:pPr>
        <w:spacing w:after="213" w:line="259" w:lineRule="auto"/>
        <w:ind w:left="0" w:right="0" w:firstLine="0"/>
        <w:jc w:val="left"/>
      </w:pPr>
      <w:r>
        <w:rPr>
          <w:b/>
          <w:sz w:val="24"/>
        </w:rPr>
        <w:t xml:space="preserve">IISTE Knowledge Sharing Partners </w:t>
      </w:r>
    </w:p>
    <w:p w:rsidR="00E44FD5" w:rsidRDefault="0038505C">
      <w:pPr>
        <w:spacing w:after="0" w:line="274" w:lineRule="auto"/>
        <w:ind w:left="-5" w:right="0"/>
      </w:pPr>
      <w:r>
        <w:rPr>
          <w:sz w:val="24"/>
        </w:rPr>
        <w:t xml:space="preserve">EBSCO, Index Copernicus, Ulrich's Periodicals Directory, </w:t>
      </w:r>
      <w:proofErr w:type="spellStart"/>
      <w:r>
        <w:rPr>
          <w:sz w:val="24"/>
        </w:rPr>
        <w:t>JournalTOCS</w:t>
      </w:r>
      <w:proofErr w:type="spellEnd"/>
      <w:r>
        <w:rPr>
          <w:sz w:val="24"/>
        </w:rPr>
        <w:t xml:space="preserve">, PKP Open Archives Harvester, Bielefeld Academic Search Engine, </w:t>
      </w:r>
      <w:proofErr w:type="spellStart"/>
      <w:r>
        <w:rPr>
          <w:sz w:val="24"/>
        </w:rPr>
        <w:t>Elektronische</w:t>
      </w:r>
      <w:proofErr w:type="spellEnd"/>
      <w:r>
        <w:rPr>
          <w:sz w:val="24"/>
        </w:rPr>
        <w:t xml:space="preserve"> </w:t>
      </w:r>
    </w:p>
    <w:p w:rsidR="00E44FD5" w:rsidRDefault="0038505C">
      <w:pPr>
        <w:spacing w:after="188" w:line="274" w:lineRule="auto"/>
        <w:ind w:left="-5" w:right="0"/>
      </w:pPr>
      <w:proofErr w:type="spellStart"/>
      <w:r>
        <w:rPr>
          <w:sz w:val="24"/>
        </w:rPr>
        <w:t>Zeitschriftenbiblioth</w:t>
      </w:r>
      <w:r>
        <w:rPr>
          <w:sz w:val="24"/>
        </w:rPr>
        <w:t>ek</w:t>
      </w:r>
      <w:proofErr w:type="spellEnd"/>
      <w:r>
        <w:rPr>
          <w:sz w:val="24"/>
        </w:rPr>
        <w:t xml:space="preserve"> EZB, Open J-Gate, OCLC </w:t>
      </w:r>
      <w:proofErr w:type="spellStart"/>
      <w:r>
        <w:rPr>
          <w:sz w:val="24"/>
        </w:rPr>
        <w:t>WorldCat</w:t>
      </w:r>
      <w:proofErr w:type="spellEnd"/>
      <w:r>
        <w:rPr>
          <w:sz w:val="24"/>
        </w:rPr>
        <w:t xml:space="preserve">, Universe </w:t>
      </w:r>
      <w:proofErr w:type="spellStart"/>
      <w:r>
        <w:rPr>
          <w:sz w:val="24"/>
        </w:rPr>
        <w:t>Digtial</w:t>
      </w:r>
      <w:proofErr w:type="spellEnd"/>
      <w:r>
        <w:rPr>
          <w:sz w:val="24"/>
        </w:rPr>
        <w:t xml:space="preserve"> </w:t>
      </w:r>
      <w:proofErr w:type="gramStart"/>
      <w:r>
        <w:rPr>
          <w:sz w:val="24"/>
        </w:rPr>
        <w:t>Library ,</w:t>
      </w:r>
      <w:proofErr w:type="gramEnd"/>
      <w:r>
        <w:rPr>
          <w:sz w:val="24"/>
        </w:rPr>
        <w:t xml:space="preserve"> </w:t>
      </w:r>
      <w:proofErr w:type="spellStart"/>
      <w:r>
        <w:rPr>
          <w:sz w:val="24"/>
        </w:rPr>
        <w:t>NewJour</w:t>
      </w:r>
      <w:proofErr w:type="spellEnd"/>
      <w:r>
        <w:rPr>
          <w:sz w:val="24"/>
        </w:rPr>
        <w:t xml:space="preserve">, Google Scholar </w:t>
      </w:r>
    </w:p>
    <w:p w:rsidR="00E44FD5" w:rsidRDefault="0038505C">
      <w:pPr>
        <w:spacing w:after="239" w:line="259" w:lineRule="auto"/>
        <w:ind w:left="44" w:right="0" w:firstLine="0"/>
        <w:jc w:val="center"/>
      </w:pPr>
      <w:r>
        <w:rPr>
          <w:rFonts w:ascii="Calibri" w:eastAsia="Calibri" w:hAnsi="Calibri" w:cs="Calibri"/>
          <w:sz w:val="22"/>
        </w:rPr>
        <w:t xml:space="preserve"> </w:t>
      </w:r>
    </w:p>
    <w:p w:rsidR="00E44FD5" w:rsidRDefault="0038505C">
      <w:pPr>
        <w:spacing w:after="0" w:line="259" w:lineRule="auto"/>
        <w:ind w:left="0" w:right="238" w:firstLine="0"/>
        <w:jc w:val="right"/>
      </w:pPr>
      <w:r>
        <w:rPr>
          <w:noProof/>
        </w:rPr>
        <w:drawing>
          <wp:inline distT="0" distB="0" distL="0" distR="0">
            <wp:extent cx="4887595" cy="3211195"/>
            <wp:effectExtent l="0" t="0" r="0" b="0"/>
            <wp:docPr id="3074" name="Picture 3074"/>
            <wp:cNvGraphicFramePr/>
            <a:graphic xmlns:a="http://schemas.openxmlformats.org/drawingml/2006/main">
              <a:graphicData uri="http://schemas.openxmlformats.org/drawingml/2006/picture">
                <pic:pic xmlns:pic="http://schemas.openxmlformats.org/drawingml/2006/picture">
                  <pic:nvPicPr>
                    <pic:cNvPr id="3074" name="Picture 3074"/>
                    <pic:cNvPicPr/>
                  </pic:nvPicPr>
                  <pic:blipFill>
                    <a:blip r:embed="rId17"/>
                    <a:stretch>
                      <a:fillRect/>
                    </a:stretch>
                  </pic:blipFill>
                  <pic:spPr>
                    <a:xfrm>
                      <a:off x="0" y="0"/>
                      <a:ext cx="4887595" cy="3211195"/>
                    </a:xfrm>
                    <a:prstGeom prst="rect">
                      <a:avLst/>
                    </a:prstGeom>
                  </pic:spPr>
                </pic:pic>
              </a:graphicData>
            </a:graphic>
          </wp:inline>
        </w:drawing>
      </w:r>
      <w:r>
        <w:rPr>
          <w:sz w:val="26"/>
        </w:rPr>
        <w:t xml:space="preserve"> </w:t>
      </w:r>
    </w:p>
    <w:sectPr w:rsidR="00E44FD5">
      <w:headerReference w:type="even" r:id="rId18"/>
      <w:headerReference w:type="default" r:id="rId19"/>
      <w:footerReference w:type="even" r:id="rId20"/>
      <w:footerReference w:type="default" r:id="rId21"/>
      <w:headerReference w:type="first" r:id="rId22"/>
      <w:footerReference w:type="first" r:id="rId23"/>
      <w:pgSz w:w="11906" w:h="16838"/>
      <w:pgMar w:top="1440" w:right="179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05C" w:rsidRDefault="0038505C">
      <w:pPr>
        <w:spacing w:after="0" w:line="240" w:lineRule="auto"/>
      </w:pPr>
      <w:r>
        <w:separator/>
      </w:r>
    </w:p>
  </w:endnote>
  <w:endnote w:type="continuationSeparator" w:id="0">
    <w:p w:rsidR="0038505C" w:rsidRDefault="00385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FD5" w:rsidRDefault="0038505C">
    <w:pPr>
      <w:tabs>
        <w:tab w:val="center" w:pos="4154"/>
      </w:tabs>
      <w:spacing w:after="0" w:line="259" w:lineRule="auto"/>
      <w:ind w:left="0" w:right="0" w:firstLine="0"/>
      <w:jc w:val="left"/>
    </w:pPr>
    <w:r>
      <w:rPr>
        <w:color w:val="0000FF"/>
        <w:sz w:val="24"/>
        <w:u w:val="single" w:color="0000FF"/>
      </w:rPr>
      <w:t>www.iiste.org</w:t>
    </w: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FD5" w:rsidRDefault="0038505C">
    <w:pPr>
      <w:tabs>
        <w:tab w:val="center" w:pos="4154"/>
      </w:tabs>
      <w:spacing w:after="0" w:line="259" w:lineRule="auto"/>
      <w:ind w:left="0" w:right="0" w:firstLine="0"/>
      <w:jc w:val="left"/>
    </w:pPr>
    <w:r>
      <w:rPr>
        <w:color w:val="0000FF"/>
        <w:sz w:val="24"/>
        <w:u w:val="single" w:color="0000FF"/>
      </w:rPr>
      <w:t>www.iiste.org</w:t>
    </w: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FD5" w:rsidRDefault="0038505C">
    <w:pPr>
      <w:tabs>
        <w:tab w:val="center" w:pos="4154"/>
      </w:tabs>
      <w:spacing w:after="0" w:line="259" w:lineRule="auto"/>
      <w:ind w:left="0" w:right="0" w:firstLine="0"/>
      <w:jc w:val="left"/>
    </w:pPr>
    <w:r>
      <w:rPr>
        <w:color w:val="0000FF"/>
        <w:sz w:val="24"/>
        <w:u w:val="single" w:color="0000FF"/>
      </w:rPr>
      <w:t>www.iiste.org</w:t>
    </w: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FD5" w:rsidRDefault="00E44FD5">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FD5" w:rsidRDefault="00E44FD5">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FD5" w:rsidRDefault="00E44FD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05C" w:rsidRDefault="0038505C">
      <w:pPr>
        <w:spacing w:after="0" w:line="240" w:lineRule="auto"/>
      </w:pPr>
      <w:r>
        <w:separator/>
      </w:r>
    </w:p>
  </w:footnote>
  <w:footnote w:type="continuationSeparator" w:id="0">
    <w:p w:rsidR="0038505C" w:rsidRDefault="00385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FD5" w:rsidRDefault="0038505C">
    <w:pPr>
      <w:tabs>
        <w:tab w:val="center" w:pos="4320"/>
        <w:tab w:val="right" w:pos="8638"/>
      </w:tabs>
      <w:spacing w:after="0" w:line="259" w:lineRule="auto"/>
      <w:ind w:left="0" w:right="-325" w:firstLine="0"/>
      <w:jc w:val="left"/>
    </w:pPr>
    <w:r>
      <w:rPr>
        <w:sz w:val="21"/>
      </w:rPr>
      <w:t xml:space="preserve">Journal of Education and Practice   </w:t>
    </w:r>
    <w:r>
      <w:rPr>
        <w:sz w:val="21"/>
      </w:rPr>
      <w:tab/>
      <w:t xml:space="preserve"> </w:t>
    </w:r>
    <w:r>
      <w:rPr>
        <w:sz w:val="21"/>
      </w:rPr>
      <w:tab/>
    </w:r>
    <w:r>
      <w:rPr>
        <w:color w:val="0000FF"/>
        <w:sz w:val="21"/>
        <w:u w:val="single" w:color="0000FF"/>
      </w:rPr>
      <w:t>www.iiste.org</w:t>
    </w:r>
    <w:r>
      <w:rPr>
        <w:sz w:val="21"/>
      </w:rPr>
      <w:t xml:space="preserve"> </w:t>
    </w:r>
  </w:p>
  <w:p w:rsidR="00E44FD5" w:rsidRDefault="0038505C">
    <w:pPr>
      <w:spacing w:after="0" w:line="259" w:lineRule="auto"/>
      <w:ind w:left="0" w:right="0" w:firstLine="0"/>
      <w:jc w:val="left"/>
    </w:pPr>
    <w:r>
      <w:rPr>
        <w:sz w:val="21"/>
      </w:rPr>
      <w:t>ISSN 2222-1735 (</w:t>
    </w:r>
    <w:proofErr w:type="gramStart"/>
    <w:r>
      <w:rPr>
        <w:sz w:val="21"/>
      </w:rPr>
      <w:t xml:space="preserve">Paper)   </w:t>
    </w:r>
    <w:proofErr w:type="gramEnd"/>
    <w:r>
      <w:rPr>
        <w:sz w:val="21"/>
      </w:rPr>
      <w:t xml:space="preserve">ISSN 2222-288X (Online) </w:t>
    </w:r>
  </w:p>
  <w:p w:rsidR="00E44FD5" w:rsidRDefault="0038505C">
    <w:pPr>
      <w:spacing w:after="0" w:line="259" w:lineRule="auto"/>
      <w:ind w:left="0" w:right="0" w:firstLine="0"/>
      <w:jc w:val="left"/>
    </w:pPr>
    <w:r>
      <w:rPr>
        <w:sz w:val="21"/>
      </w:rPr>
      <w:t xml:space="preserve">Vol 2, No 11&amp;12, 2011 </w:t>
    </w:r>
  </w:p>
  <w:p w:rsidR="00E44FD5" w:rsidRDefault="0038505C">
    <w:pPr>
      <w:spacing w:after="0" w:line="259" w:lineRule="auto"/>
      <w:ind w:left="0" w:right="0" w:firstLine="0"/>
      <w:jc w:val="left"/>
    </w:pPr>
    <w:r>
      <w:rPr>
        <w:sz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FD5" w:rsidRDefault="0038505C">
    <w:pPr>
      <w:tabs>
        <w:tab w:val="center" w:pos="4320"/>
        <w:tab w:val="right" w:pos="8638"/>
      </w:tabs>
      <w:spacing w:after="0" w:line="259" w:lineRule="auto"/>
      <w:ind w:left="0" w:right="-325" w:firstLine="0"/>
      <w:jc w:val="left"/>
    </w:pPr>
    <w:r>
      <w:rPr>
        <w:sz w:val="21"/>
      </w:rPr>
      <w:t xml:space="preserve">Journal of Education and Practice   </w:t>
    </w:r>
    <w:r>
      <w:rPr>
        <w:sz w:val="21"/>
      </w:rPr>
      <w:tab/>
      <w:t xml:space="preserve"> </w:t>
    </w:r>
    <w:r>
      <w:rPr>
        <w:sz w:val="21"/>
      </w:rPr>
      <w:tab/>
    </w:r>
    <w:r>
      <w:rPr>
        <w:color w:val="0000FF"/>
        <w:sz w:val="21"/>
        <w:u w:val="single" w:color="0000FF"/>
      </w:rPr>
      <w:t>www.iiste.org</w:t>
    </w:r>
    <w:r>
      <w:rPr>
        <w:sz w:val="21"/>
      </w:rPr>
      <w:t xml:space="preserve"> </w:t>
    </w:r>
  </w:p>
  <w:p w:rsidR="00E44FD5" w:rsidRDefault="0038505C">
    <w:pPr>
      <w:spacing w:after="0" w:line="259" w:lineRule="auto"/>
      <w:ind w:left="0" w:right="0" w:firstLine="0"/>
      <w:jc w:val="left"/>
    </w:pPr>
    <w:r>
      <w:rPr>
        <w:sz w:val="21"/>
      </w:rPr>
      <w:t xml:space="preserve">ISSN </w:t>
    </w:r>
    <w:r>
      <w:rPr>
        <w:sz w:val="21"/>
      </w:rPr>
      <w:t>2222-1735 (</w:t>
    </w:r>
    <w:proofErr w:type="gramStart"/>
    <w:r>
      <w:rPr>
        <w:sz w:val="21"/>
      </w:rPr>
      <w:t xml:space="preserve">Paper)   </w:t>
    </w:r>
    <w:proofErr w:type="gramEnd"/>
    <w:r>
      <w:rPr>
        <w:sz w:val="21"/>
      </w:rPr>
      <w:t xml:space="preserve">ISSN 2222-288X (Online) </w:t>
    </w:r>
  </w:p>
  <w:p w:rsidR="00E44FD5" w:rsidRDefault="0038505C">
    <w:pPr>
      <w:spacing w:after="0" w:line="259" w:lineRule="auto"/>
      <w:ind w:left="0" w:right="0" w:firstLine="0"/>
      <w:jc w:val="left"/>
    </w:pPr>
    <w:r>
      <w:rPr>
        <w:sz w:val="21"/>
      </w:rPr>
      <w:t xml:space="preserve">Vol 2, No 11&amp;12, 2011 </w:t>
    </w:r>
  </w:p>
  <w:p w:rsidR="00E44FD5" w:rsidRDefault="0038505C">
    <w:pPr>
      <w:spacing w:after="0" w:line="259" w:lineRule="auto"/>
      <w:ind w:left="0" w:right="0" w:firstLine="0"/>
      <w:jc w:val="left"/>
    </w:pPr>
    <w:r>
      <w:rPr>
        <w:sz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FD5" w:rsidRDefault="0038505C">
    <w:pPr>
      <w:tabs>
        <w:tab w:val="center" w:pos="4320"/>
        <w:tab w:val="right" w:pos="8638"/>
      </w:tabs>
      <w:spacing w:after="0" w:line="259" w:lineRule="auto"/>
      <w:ind w:left="0" w:right="-325" w:firstLine="0"/>
      <w:jc w:val="left"/>
    </w:pPr>
    <w:r>
      <w:rPr>
        <w:sz w:val="21"/>
      </w:rPr>
      <w:t xml:space="preserve">Journal of Education and Practice   </w:t>
    </w:r>
    <w:r>
      <w:rPr>
        <w:sz w:val="21"/>
      </w:rPr>
      <w:tab/>
      <w:t xml:space="preserve"> </w:t>
    </w:r>
    <w:r>
      <w:rPr>
        <w:sz w:val="21"/>
      </w:rPr>
      <w:tab/>
    </w:r>
    <w:r>
      <w:rPr>
        <w:color w:val="0000FF"/>
        <w:sz w:val="21"/>
        <w:u w:val="single" w:color="0000FF"/>
      </w:rPr>
      <w:t>www.iiste.org</w:t>
    </w:r>
    <w:r>
      <w:rPr>
        <w:sz w:val="21"/>
      </w:rPr>
      <w:t xml:space="preserve"> </w:t>
    </w:r>
  </w:p>
  <w:p w:rsidR="00E44FD5" w:rsidRDefault="0038505C">
    <w:pPr>
      <w:spacing w:after="0" w:line="259" w:lineRule="auto"/>
      <w:ind w:left="0" w:right="0" w:firstLine="0"/>
      <w:jc w:val="left"/>
    </w:pPr>
    <w:r>
      <w:rPr>
        <w:sz w:val="21"/>
      </w:rPr>
      <w:t>ISSN 2222-1735 (</w:t>
    </w:r>
    <w:proofErr w:type="gramStart"/>
    <w:r>
      <w:rPr>
        <w:sz w:val="21"/>
      </w:rPr>
      <w:t xml:space="preserve">Paper)   </w:t>
    </w:r>
    <w:proofErr w:type="gramEnd"/>
    <w:r>
      <w:rPr>
        <w:sz w:val="21"/>
      </w:rPr>
      <w:t xml:space="preserve">ISSN 2222-288X (Online) </w:t>
    </w:r>
  </w:p>
  <w:p w:rsidR="00E44FD5" w:rsidRDefault="0038505C">
    <w:pPr>
      <w:spacing w:after="0" w:line="259" w:lineRule="auto"/>
      <w:ind w:left="0" w:right="0" w:firstLine="0"/>
      <w:jc w:val="left"/>
    </w:pPr>
    <w:r>
      <w:rPr>
        <w:sz w:val="21"/>
      </w:rPr>
      <w:t xml:space="preserve">Vol 2, No 11&amp;12, 2011 </w:t>
    </w:r>
  </w:p>
  <w:p w:rsidR="00E44FD5" w:rsidRDefault="0038505C">
    <w:pPr>
      <w:spacing w:after="0" w:line="259" w:lineRule="auto"/>
      <w:ind w:left="0" w:right="0" w:firstLine="0"/>
      <w:jc w:val="left"/>
    </w:pPr>
    <w:r>
      <w:rPr>
        <w:sz w:val="21"/>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FD5" w:rsidRDefault="00E44FD5">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FD5" w:rsidRDefault="00E44FD5">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FD5" w:rsidRDefault="00E44FD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F005F"/>
    <w:multiLevelType w:val="hybridMultilevel"/>
    <w:tmpl w:val="BD1C82B2"/>
    <w:lvl w:ilvl="0" w:tplc="7558547E">
      <w:start w:val="1"/>
      <w:numFmt w:val="decimal"/>
      <w:lvlText w:val="[%1]"/>
      <w:lvlJc w:val="left"/>
      <w:pPr>
        <w:ind w:left="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44A9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4E026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5EA7EC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D2CFCA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1C0F0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DDE152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862939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BA45CD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D37451F"/>
    <w:multiLevelType w:val="hybridMultilevel"/>
    <w:tmpl w:val="098A2D98"/>
    <w:lvl w:ilvl="0" w:tplc="7B06092C">
      <w:start w:val="1"/>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C34DF9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708FF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364C6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3D0EBB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E8FE6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78122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E8396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EEF95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10C5CD2"/>
    <w:multiLevelType w:val="hybridMultilevel"/>
    <w:tmpl w:val="60DC2F14"/>
    <w:lvl w:ilvl="0" w:tplc="717E681E">
      <w:start w:val="1"/>
      <w:numFmt w:val="decimal"/>
      <w:lvlText w:val="%1."/>
      <w:lvlJc w:val="left"/>
      <w:pPr>
        <w:ind w:left="6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5A103C">
      <w:start w:val="1"/>
      <w:numFmt w:val="lowerLetter"/>
      <w:lvlText w:val="%2"/>
      <w:lvlJc w:val="left"/>
      <w:pPr>
        <w:ind w:left="14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542415A">
      <w:start w:val="1"/>
      <w:numFmt w:val="lowerRoman"/>
      <w:lvlText w:val="%3"/>
      <w:lvlJc w:val="left"/>
      <w:pPr>
        <w:ind w:left="2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843DB0">
      <w:start w:val="1"/>
      <w:numFmt w:val="decimal"/>
      <w:lvlText w:val="%4"/>
      <w:lvlJc w:val="left"/>
      <w:pPr>
        <w:ind w:left="2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D89232">
      <w:start w:val="1"/>
      <w:numFmt w:val="lowerLetter"/>
      <w:lvlText w:val="%5"/>
      <w:lvlJc w:val="left"/>
      <w:pPr>
        <w:ind w:left="3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0047782">
      <w:start w:val="1"/>
      <w:numFmt w:val="lowerRoman"/>
      <w:lvlText w:val="%6"/>
      <w:lvlJc w:val="left"/>
      <w:pPr>
        <w:ind w:left="4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B47ECE">
      <w:start w:val="1"/>
      <w:numFmt w:val="decimal"/>
      <w:lvlText w:val="%7"/>
      <w:lvlJc w:val="left"/>
      <w:pPr>
        <w:ind w:left="5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181246">
      <w:start w:val="1"/>
      <w:numFmt w:val="lowerLetter"/>
      <w:lvlText w:val="%8"/>
      <w:lvlJc w:val="left"/>
      <w:pPr>
        <w:ind w:left="5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DF816DE">
      <w:start w:val="1"/>
      <w:numFmt w:val="lowerRoman"/>
      <w:lvlText w:val="%9"/>
      <w:lvlJc w:val="left"/>
      <w:pPr>
        <w:ind w:left="6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FD5"/>
    <w:rsid w:val="0038505C"/>
    <w:rsid w:val="00D860D0"/>
    <w:rsid w:val="00E44FD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E64D7-B1B8-46DD-93A5-F7AC399A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94" w:line="248" w:lineRule="auto"/>
      <w:ind w:left="10" w:right="4"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3"/>
      <w:ind w:left="10"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177"/>
      <w:ind w:left="10" w:hanging="10"/>
      <w:outlineLvl w:val="1"/>
    </w:pPr>
    <w:rPr>
      <w:rFonts w:ascii="Times New Roman" w:eastAsia="Times New Roman" w:hAnsi="Times New Roman" w:cs="Times New Roman"/>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iiste.org/"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1.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iste.org/Journals/"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iste.org/Journals/" TargetMode="Externa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iste.org/"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5494</Words>
  <Characters>31319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2020-12-24T06:47:00Z</dcterms:created>
  <dcterms:modified xsi:type="dcterms:W3CDTF">2020-12-24T06:47:00Z</dcterms:modified>
</cp:coreProperties>
</file>