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FF0000"/>
          <w:sz w:val="56"/>
          <w:szCs w:val="56"/>
        </w:rPr>
      </w:pPr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>**</w:t>
      </w:r>
      <w:proofErr w:type="spellStart"/>
      <w:r w:rsidRPr="006C417C">
        <w:rPr>
          <w:rFonts w:ascii="Nirmala UI" w:eastAsia="Times New Roman" w:hAnsi="Nirmala UI" w:cs="Nirmala UI"/>
          <w:b/>
          <w:color w:val="FF0000"/>
          <w:sz w:val="56"/>
          <w:szCs w:val="56"/>
        </w:rPr>
        <w:t>পাবলিক</w:t>
      </w:r>
      <w:proofErr w:type="spellEnd"/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b/>
          <w:color w:val="FF0000"/>
          <w:sz w:val="56"/>
          <w:szCs w:val="56"/>
        </w:rPr>
        <w:t>প্লেসে</w:t>
      </w:r>
      <w:proofErr w:type="spellEnd"/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b/>
          <w:color w:val="FF0000"/>
          <w:sz w:val="56"/>
          <w:szCs w:val="56"/>
        </w:rPr>
        <w:t>ধূমপানের</w:t>
      </w:r>
      <w:proofErr w:type="spellEnd"/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b/>
          <w:color w:val="FF0000"/>
          <w:sz w:val="56"/>
          <w:szCs w:val="56"/>
        </w:rPr>
        <w:t>শাস্তি</w:t>
      </w:r>
      <w:proofErr w:type="spellEnd"/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b/>
          <w:color w:val="FF0000"/>
          <w:sz w:val="56"/>
          <w:szCs w:val="56"/>
        </w:rPr>
        <w:t>বেড়ে</w:t>
      </w:r>
      <w:proofErr w:type="spellEnd"/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 xml:space="preserve"> </w:t>
      </w:r>
      <w:r w:rsidRPr="006C417C">
        <w:rPr>
          <w:rFonts w:ascii="Nirmala UI" w:eastAsia="Times New Roman" w:hAnsi="Nirmala UI" w:cs="Nirmala UI"/>
          <w:b/>
          <w:color w:val="FF0000"/>
          <w:sz w:val="56"/>
          <w:szCs w:val="56"/>
        </w:rPr>
        <w:t>১০০</w:t>
      </w:r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b/>
          <w:color w:val="FF0000"/>
          <w:sz w:val="56"/>
          <w:szCs w:val="56"/>
        </w:rPr>
        <w:t>টাকা</w:t>
      </w:r>
      <w:proofErr w:type="spellEnd"/>
      <w:r w:rsidRPr="006C417C">
        <w:rPr>
          <w:rFonts w:ascii="inherit" w:eastAsia="Times New Roman" w:hAnsi="inherit" w:cs="Segoe UI Historic"/>
          <w:b/>
          <w:color w:val="FF0000"/>
          <w:sz w:val="56"/>
          <w:szCs w:val="56"/>
        </w:rPr>
        <w:t>***</w:t>
      </w:r>
      <w:bookmarkStart w:id="0" w:name="_GoBack"/>
      <w:bookmarkEnd w:id="0"/>
    </w:p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জনসাধারণের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ব্যবহূত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স্থানে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(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পাবলিক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প্লেসে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)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প্রকাশ্যে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ধূমপানের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শাস্তি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৫০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থেকে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বাড়িয়ে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১০০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টাকা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হয়েছে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ছাড়া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আইন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বাস্তবায়নে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ব্যর্থ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হলে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‘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পাবলিক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প্লেসের</w:t>
      </w:r>
      <w:proofErr w:type="spellEnd"/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’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ব্যবস্থাপনা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কর্তৃপক্ষকে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৫০০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টাকা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জরিমানার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বিধান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রাখা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হয়েছে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>-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সংক্রান্ত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‘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ধূমপান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তামাকজাত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দ্রব্য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ব্যবহার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(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নিয়ন্ত্রণ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>) (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সংশোধন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)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আইন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২০১২</w:t>
      </w:r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’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>-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এর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মন্ত্রিপরিষদ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সচিব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জানান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সংশোধিত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খসড়ায়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‘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পাবলিক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প্লেসের</w:t>
      </w:r>
      <w:proofErr w:type="spellEnd"/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’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সংজ্ঞা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সম্প্রসারিত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নতুন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নির্ধারণ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হয়েছে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নতুন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সংজ্ঞায়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‘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পাবলিস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প্লেস</w:t>
      </w:r>
      <w:proofErr w:type="spellEnd"/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’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বলতে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সম্মিলিতভাবে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ব্যবহারযোগ্য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বিভিন্ন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সরকারি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বেসরকারি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স্বায়ত্তশাসিত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সংস্থার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স্থান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ভবনকে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বোঝানো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হয়েছে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মধ্যে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আছে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বিভিন্ন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শিক্ষাপ্রতিষ্ঠান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শিক্ষাপ্রতিষ্ঠানের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মাঠ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খেলার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মাঠ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বিভিন্ন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অফিস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বিপণিবিতান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বাজার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জনসমাবেশ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মেলা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বাসস্ট্যান্ড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এবং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বাসযাত্রীদের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দাঁড়ানোর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লাইন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পাবলিক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টয়লেট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এসব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স্থানে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ধূমপান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তামাকজাত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দ্রব্য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ব্যবহারের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জন্য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শাস্তি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দেওয়া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যাবে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উপজেলা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নির্বাহী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কর্মকর্তা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(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ইউএনও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),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উপজেলা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স্বাস্থ্য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পরিবারকল্যাণ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কর্মকর্তা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আইনশৃঙ্খলা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রক্ষাকারী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বাহিনীর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সদস্যরা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জন্য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জরিমানা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করতে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পারবেন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যেকোনো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ভুক্তভোগী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নাগরিক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এসব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অপরাধের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জন্য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অভিযোগ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করতে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পারবেন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আইন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বাস্তবায়নে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ব্যর্থ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হলে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‘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পাবলিক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প্লেসের</w:t>
      </w:r>
      <w:proofErr w:type="spellEnd"/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’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ব্যবস্থাপনা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কর্তৃপক্ষকে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৫০০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টাকা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জরিমানার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বিধান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যোগ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হয়েছে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</w:p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lastRenderedPageBreak/>
        <w:t>তামাক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তামাকজাতীয়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গাছের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শিকড়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ডাল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অন্যান্য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অংশকেও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সংশোধিত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আইনে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‘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তামাকজাতীয়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দ্রব্য</w:t>
      </w:r>
      <w:proofErr w:type="spellEnd"/>
      <w:r w:rsidRPr="006C417C">
        <w:rPr>
          <w:rFonts w:ascii="Times New Roman" w:eastAsia="Times New Roman" w:hAnsi="Times New Roman" w:cs="Times New Roman"/>
          <w:color w:val="050505"/>
          <w:sz w:val="36"/>
          <w:szCs w:val="36"/>
        </w:rPr>
        <w:t>’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হিসেবে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সংজ্ঞায়িত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হয়েছে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বিড়ি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সিগারেট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ছাড়াও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গুল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জর্দা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,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খৈনি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তামাকের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সাদা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পাতাও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তামাকজাতীয়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দ্রব্য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হিসেবে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গণ্য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হবে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:rsidR="006C417C" w:rsidRPr="006C417C" w:rsidRDefault="006C417C" w:rsidP="006C417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খসড়ায়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তামাকজাত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পণ্যের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বিজ্ঞাপন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প্রচার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করলে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তিন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মাসের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বিনাশ্রম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কারাদণ্ড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এবং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এক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লাখ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টাকা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পর্যন্ত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জরিমানার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বিধান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করার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কথা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বলা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আছে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বর্তমানেও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এ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জাতীয়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দ্রব্যের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বিজ্ঞাপন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দেওয়া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ও</w:t>
      </w:r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প্রচার</w:t>
      </w:r>
      <w:proofErr w:type="spellEnd"/>
      <w:r w:rsidRPr="006C417C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proofErr w:type="spellStart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নিষিদ্ধ</w:t>
      </w:r>
      <w:proofErr w:type="spellEnd"/>
      <w:r w:rsidRPr="006C417C">
        <w:rPr>
          <w:rFonts w:ascii="Nirmala UI" w:eastAsia="Times New Roman" w:hAnsi="Nirmala UI" w:cs="Nirmala UI"/>
          <w:color w:val="050505"/>
          <w:sz w:val="36"/>
          <w:szCs w:val="36"/>
        </w:rPr>
        <w:t>।</w:t>
      </w:r>
    </w:p>
    <w:p w:rsidR="00626C5F" w:rsidRDefault="00626C5F"/>
    <w:sectPr w:rsidR="0062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C"/>
    <w:rsid w:val="00626C5F"/>
    <w:rsid w:val="006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2021-02-19T02:02:00Z</dcterms:created>
  <dcterms:modified xsi:type="dcterms:W3CDTF">2021-02-19T02:03:00Z</dcterms:modified>
</cp:coreProperties>
</file>